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The Margaret River Truffle Farm</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8 Lovejoy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Cowaramup</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Benjamin Warner</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0459 960 978</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info@themargaretrivertrufflefarm.com.au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https://themargaretrivertrufflefarm.com.au/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2026-08-19 04:41</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Entry</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_Toc0000000018 \h</w:instrText>
          </w:r>
          <w:r>
            <w:rPr/>
            <w:fldChar w:fldCharType="separate"/>
          </w:r>
          <w:r>
            <w:rPr/>
            <w:t xml:space="preserve">12</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9558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9558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pStyle w:val="ListBullet"/>
        <w:numPr>
          <w:ilvl w:val="0"/>
          <w:numId w:val="35"/>
        </w:numPr>
        <w:spacing/>
        <w:rPr/>
      </w:pPr>
      <w:r>
        <w:rPr/>
        <w:t xml:space="preserve">Braille Displays</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5"/>
        </w:numPr>
        <w:spacing/>
        <w:rPr/>
      </w:pPr>
      <w:r>
        <w:rPr/>
        <w:t xml:space="preserve">The business provides a toilet area for service animals</w:t>
      </w:r>
    </w:p>
    <w:p>
      <w:pPr>
        <w:spacing/>
        <w:rPr/>
      </w:pPr>
      <w:r>
        <w:rPr/>
        <w:t xml:space="preserve">The business provides the following services for services animals: </w:t>
      </w:r>
    </w:p>
    <w:p>
      <w:pPr>
        <w:pBdr/>
        <w:spacing/>
        <w:rPr/>
      </w:pPr>
      <w:r>
        <w:rPr/>
        <w:t xml:space="preserve">Due to biosecurity risks, and the risks to our animals posed by service dogs, we offer a Service Dogs Special product that is conducted in a controlled manner, outside of the orchards, as a truffle hunt demonstration. Attendees with service dogs must contact by email to arrange a session to cater for this. </w:t>
      </w:r>
    </w:p>
    <w:p>
      <w:pPr>
        <w:pStyle w:val="Heading1"/>
        <w:spacing/>
        <w:rPr/>
      </w:pPr>
      <w:bookmarkStart w:id="11" w:name="_Toc0000000007"/>
      <w:r>
        <w:rPr/>
        <w:t xml:space="preserve">GENERAL</w:t>
      </w:r>
      <w:bookmarkEnd w:id="11"/>
    </w:p>
    <w:p>
      <w:pPr>
        <w:pStyle w:val="ListBullet"/>
        <w:numPr>
          <w:ilvl w:val="0"/>
          <w:numId w:val="35"/>
        </w:numPr>
        <w:spacing/>
        <w:rPr/>
      </w:pPr>
      <w:r>
        <w:rPr/>
        <w:t xml:space="preserve">In addition, the following further information can assist guests:</w:t>
      </w:r>
    </w:p>
    <w:p>
      <w:pPr>
        <w:spacing/>
        <w:rPr/>
      </w:pPr>
      <w:r>
        <w:rPr/>
        <w:t xml:space="preserve">We do not have wait times</w:t>
      </w:r>
    </w:p>
    <w:p>
      <w:pPr>
        <w:pStyle w:val="ListBullet"/>
        <w:numPr>
          <w:ilvl w:val="0"/>
          <w:numId w:val="35"/>
        </w:numPr>
        <w:spacing/>
        <w:rPr/>
      </w:pPr>
      <w:r>
        <w:rPr/>
        <w:t xml:space="preserve">In addition, the following further information can assist guests:</w:t>
      </w:r>
    </w:p>
    <w:p>
      <w:pPr>
        <w:spacing/>
        <w:rPr/>
      </w:pPr>
      <w:r>
        <w:rPr/>
        <w:t xml:space="preserve">We are a small 100% guided experience rendering all of the above non applicable</w:t>
      </w:r>
    </w:p>
    <w:p>
      <w:pPr>
        <w:spacing/>
        <w:rPr/>
      </w:pPr>
      <w:r>
        <w:rPr/>
        <w:t xml:space="preserve"> </w:t>
      </w:r>
    </w:p>
    <w:p>
      <w:pPr>
        <w:pStyle w:val="Heading2"/>
        <w:spacing/>
        <w:rPr/>
      </w:pPr>
      <w:bookmarkStart w:id="12" w:name="_Toc0000000008"/>
      <w:r>
        <w:rPr/>
        <w:t xml:space="preserve">Cognitive Impairment Support</w:t>
      </w:r>
      <w:bookmarkEnd w:id="12"/>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3" w:name="_Toc0000000009"/>
      <w:r>
        <w:rPr/>
        <w:t xml:space="preserve">Car Park and Access amenities</w:t>
      </w:r>
      <w:bookmarkEnd w:id="13"/>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spacing/>
        <w:rPr/>
      </w:pPr>
      <w:r>
        <w:rPr/>
        <w:t xml:space="preserve"> </w:t>
      </w:r>
    </w:p>
    <w:p>
      <w:pPr>
        <w:pStyle w:val="Heading2"/>
        <w:spacing/>
        <w:rPr/>
      </w:pPr>
      <w:bookmarkStart w:id="14" w:name="_Toc0000000010"/>
      <w:r>
        <w:rPr/>
        <w:t xml:space="preserve">Entry</w:t>
      </w:r>
      <w:bookmarkEnd w:id="14"/>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5" w:name="_Toc0000000011"/>
      <w:r>
        <w:rPr/>
        <w:t xml:space="preserve">Internal Spaces</w:t>
      </w:r>
      <w:bookmarkEnd w:id="15"/>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spacing/>
        <w:rPr/>
      </w:pPr>
      <w:r>
        <w:rPr/>
        <w:t xml:space="preserve"> </w:t>
      </w:r>
    </w:p>
    <w:p>
      <w:pPr>
        <w:pStyle w:val="Heading2"/>
        <w:spacing/>
        <w:rPr/>
      </w:pPr>
      <w:bookmarkStart w:id="16" w:name="_Toc0000000012"/>
      <w:r>
        <w:rPr/>
        <w:t xml:space="preserve">Public areas</w:t>
      </w:r>
      <w:bookmarkEnd w:id="16"/>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7" w:name="_Toc0000000013"/>
      <w:r>
        <w:rPr/>
        <w:t xml:space="preserve">Displays, exhibits, commentary and live performances</w:t>
      </w:r>
      <w:bookmarkEnd w:id="17"/>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spacing/>
        <w:rPr/>
      </w:pPr>
      <w:r>
        <w:rPr/>
        <w:t xml:space="preserve"> </w:t>
      </w:r>
    </w:p>
    <w:p>
      <w:pPr>
        <w:pStyle w:val="Heading2"/>
        <w:spacing/>
        <w:rPr/>
      </w:pPr>
      <w:bookmarkStart w:id="18" w:name="_Toc0000000014"/>
      <w:r>
        <w:rPr/>
        <w:t xml:space="preserve">External Paths</w:t>
      </w:r>
      <w:bookmarkEnd w:id="18"/>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spacing/>
        <w:rPr/>
      </w:pPr>
    </w:p>
    <w:p>
      <w:pPr>
        <w:pBdr/>
        <w:spacing/>
        <w:rPr/>
      </w:pPr>
      <w:r>
        <w:rPr/>
        <w:t xml:space="preserve">no steps</w:t>
      </w:r>
    </w:p>
    <w:p>
      <w:pPr>
        <w:spacing/>
        <w:rPr/>
      </w:pPr>
    </w:p>
    <w:p>
      <w:pPr>
        <w:pBdr/>
        <w:spacing/>
        <w:rPr/>
      </w:pPr>
      <w:r>
        <w:rPr/>
        <w:t xml:space="preserve">no steps</w:t>
      </w:r>
    </w:p>
    <w:p>
      <w:pPr>
        <w:spacing/>
        <w:rPr/>
      </w:pPr>
      <w:r>
        <w:rPr/>
        <w:t xml:space="preserve"> </w:t>
      </w:r>
    </w:p>
    <w:p>
      <w:pPr>
        <w:pStyle w:val="Heading2"/>
        <w:spacing/>
        <w:rPr/>
      </w:pPr>
      <w:bookmarkStart w:id="19" w:name="_Toc0000000015"/>
      <w:r>
        <w:rPr/>
        <w:t xml:space="preserve">Public Toilets/Adult change facilities</w:t>
      </w:r>
      <w:bookmarkEnd w:id="19"/>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Heading1"/>
        <w:spacing/>
        <w:rPr/>
      </w:pPr>
      <w:bookmarkStart w:id="20" w:name="_Toc0000000016"/>
      <w:r>
        <w:rPr/>
        <w:t xml:space="preserve">FOOD AND DRINK</w:t>
      </w:r>
      <w:bookmarkEnd w:id="20"/>
    </w:p>
    <w:p>
      <w:pPr>
        <w:spacing/>
        <w:rPr/>
      </w:pPr>
      <w:r>
        <w:rPr/>
        <w:t xml:space="preserve"> </w:t>
      </w:r>
    </w:p>
    <w:p>
      <w:pPr>
        <w:pStyle w:val="Heading2"/>
        <w:spacing/>
        <w:rPr/>
      </w:pPr>
      <w:bookmarkStart w:id="21" w:name="_Toc0000000017"/>
      <w:r>
        <w:rPr/>
        <w:t xml:space="preserve">Dining Spaces</w:t>
      </w:r>
      <w:bookmarkEnd w:id="21"/>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large print menus</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Vegetarian</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We have an approved medium risk kitchen and all staff are trained as safe food handling supervisors&amp;nbsp;</w:t>
      </w:r>
    </w:p>
    <w:p>
      <w:pPr>
        <w:pStyle w:val="Subtitle"/>
        <w:spacing/>
        <w:rPr/>
      </w:pPr>
      <w:r>
        <w:rPr/>
        <w:t xml:space="preserve">Food and Beverage Image(s)</w:t>
      </w:r>
    </w:p>
    <w:p>
      <w:pPr>
        <w:spacing/>
        <w:rPr/>
      </w:pPr>
      <w:r>
        <w:rPr/>
        <w:drawing>
          <wp:inline>
            <wp:extent cx="2540000" cy="1905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905000"/>
                    </a:xfrm>
                    <a:prstGeom prst="rect">
                      <a:avLst/>
                    </a:prstGeom>
                  </pic:spPr>
                </pic:pic>
              </a:graphicData>
            </a:graphic>
          </wp:inline>
        </w:drawing>
      </w:r>
    </w:p>
    <w:p>
      <w:pPr>
        <w:spacing/>
        <w:rPr/>
      </w:pPr>
      <w:r>
        <w:rPr/>
        <w:t xml:space="preserve">IMG_3163</w:t>
      </w:r>
    </w:p>
    <w:p>
      <w:pPr>
        <w:spacing/>
        <w:rPr/>
      </w:pPr>
      <w:r>
        <w:rPr/>
        <w:drawing>
          <wp:inline>
            <wp:extent cx="2540000" cy="1905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905000"/>
                    </a:xfrm>
                    <a:prstGeom prst="rect">
                      <a:avLst/>
                    </a:prstGeom>
                  </pic:spPr>
                </pic:pic>
              </a:graphicData>
            </a:graphic>
          </wp:inline>
        </w:drawing>
      </w:r>
    </w:p>
    <w:p>
      <w:pPr>
        <w:spacing/>
        <w:rPr/>
      </w:pPr>
      <w:r>
        <w:rPr/>
        <w:t xml:space="preserve">IMG_3164</w:t>
      </w:r>
    </w:p>
    <w:p>
      <w:pPr>
        <w:spacing/>
        <w:rPr/>
      </w:pPr>
      <w:r>
        <w:rPr/>
        <w:drawing>
          <wp:inline>
            <wp:extent cx="2540000" cy="1905000"/>
            <wp:docPr id="4"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905000"/>
                    </a:xfrm>
                    <a:prstGeom prst="rect">
                      <a:avLst/>
                    </a:prstGeom>
                  </pic:spPr>
                </pic:pic>
              </a:graphicData>
            </a:graphic>
          </wp:inline>
        </w:drawing>
      </w:r>
    </w:p>
    <w:p>
      <w:pPr>
        <w:spacing/>
        <w:rPr/>
      </w:pPr>
      <w:r>
        <w:rPr/>
        <w:t xml:space="preserve">IMG_3164</w:t>
      </w:r>
    </w:p>
    <w:p>
      <w:pPr>
        <w:spacing/>
        <w:rPr/>
      </w:pPr>
      <w:r>
        <w:rPr/>
        <w:drawing>
          <wp:inline>
            <wp:extent cx="2540000" cy="1905000"/>
            <wp:docPr id="5"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9050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IMG_3167</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2" w:name="_Toc0000000018"/>
      <w:r>
        <w:rPr/>
        <w:t xml:space="preserve">Report Disclaimer</w:t>
      </w:r>
      <w:bookmarkEnd w:id="22"/>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4D97FBDE"/>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6" Type="http://schemas.openxmlformats.org/officeDocument/2006/relationships/styles" Target="styles.xml" /><Relationship Id="rId7" Type="http://schemas.openxmlformats.org/officeDocument/2006/relationships/settings" Target="settings.xml" /><Relationship Id="rId8" Type="http://schemas.openxmlformats.org/officeDocument/2006/relationships/theme" Target="theme/theme1.xml" /><Relationship Id="rId9" Type="http://schemas.openxmlformats.org/officeDocument/2006/relationships/numbering" Target="numbering.xml" /><Relationship Id="rId1" Type="http://schemas.openxmlformats.org/officeDocument/2006/relationships/footer" Target="footer1.xml" /><Relationship Id="rId10"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