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Tasman Sea Salt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97 Mayfield Jetty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Little Swanport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Alice Laing</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0417282026</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info@tasmanseasalt.com.au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www.tasmanseasalt.com.au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2026-08-04 12:23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3419856" cy="3419856"/>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3419856" cy="3419856"/>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https://tasmanseasalt.com.au/pages/tours-tastings</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Signs and price lists printed in large fonts. Verbal descriptions available. </w:t>
      </w:r>
    </w:p>
    <w:p>
      <w:pPr>
        <w:pStyle w:val="ListBullet"/>
        <w:numPr>
          <w:ilvl w:val="0"/>
          <w:numId w:val="35"/>
        </w:numPr>
        <w:spacing/>
        <w:rPr/>
      </w:pPr>
      <w:r>
        <w:rPr/>
        <w:t xml:space="preserve">There is easy to read signage and information (e.g. menus and emergency information)</w:t>
      </w:r>
    </w:p>
    <w:p>
      <w:pPr>
        <w:spacing/>
        <w:rPr/>
      </w:pPr>
    </w:p>
    <w:p>
      <w:pPr>
        <w:pBdr/>
        <w:spacing/>
        <w:rPr/>
      </w:pPr>
      <w:r>
        <w:rPr/>
        <w:t xml:space="preserve">Yes. Tasman Sea Salt provides alternative communication aids including written communication pads, large print information sheets, visual cue cards, communication preference cards and staff-supported flexible communication methods. Additional supports are available on request.</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Service animals welcome onsite and on the experience. Water bowls, shade provided.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All Tasman Sea Salt tours and tastings are small group experiences lasting between 45 - 75 minutes. Tasman Sea Salt recognises that some guests experience fatigue related to disability or health conditions. To reduce disadvantage from wait times, seating is available during check-in and prior to tours, tours aim to commence on time, guests are advised of any delays, and flexible pacing/rest opportunities are available during the experience. Modified or shortened experiences can also be offered where practical.&amp;nbsp;</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Tasman Sea Salt is fully step free </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3m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1" w:name="_Toc0000000017"/>
      <w:r>
        <w:rPr/>
        <w:t xml:space="preserve">FOOD AND DRINK</w:t>
      </w:r>
      <w:bookmarkEnd w:id="21"/>
    </w:p>
    <w:p>
      <w:pPr>
        <w:spacing/>
        <w:rPr/>
      </w:pPr>
      <w:r>
        <w:rPr/>
        <w:t xml:space="preserve"> </w:t>
      </w:r>
    </w:p>
    <w:p>
      <w:pPr>
        <w:pStyle w:val="Heading2"/>
        <w:spacing/>
        <w:rPr/>
      </w:pPr>
      <w:bookmarkStart w:id="22" w:name="_Toc0000000018"/>
      <w:r>
        <w:rPr/>
        <w:t xml:space="preserve">Dining Spaces</w:t>
      </w:r>
      <w:bookmarkEnd w:id="22"/>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We adhere to a strict food safety policy and have Food Safety Supervisor accreditation. All foods are stored separately and prepared separately using different equipment.&amp;nbsp;</w:t>
      </w:r>
    </w:p>
    <w:p>
      <w:pPr>
        <w:pStyle w:val="Subtitle"/>
        <w:spacing/>
        <w:rPr/>
      </w:pPr>
      <w:r>
        <w:rPr/>
        <w:t xml:space="preserve">Food and Beverage Image(s)</w:t>
      </w:r>
    </w:p>
    <w:p>
      <w:pPr>
        <w:spacing/>
        <w:rPr/>
      </w:pPr>
      <w:r>
        <w:rPr/>
        <w:drawing>
          <wp:inline>
            <wp:extent cx="17145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714500" cy="2540000"/>
                    </a:xfrm>
                    <a:prstGeom prst="rect">
                      <a:avLst/>
                    </a:prstGeom>
                  </pic:spPr>
                </pic:pic>
              </a:graphicData>
            </a:graphic>
          </wp:inline>
        </w:drawing>
      </w:r>
    </w:p>
    <w:p>
      <w:pPr>
        <w:spacing/>
        <w:rPr/>
      </w:pPr>
      <w:r>
        <w:rPr/>
        <w:t xml:space="preserve">IMG_1932.JPEG</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IMG_1924.JPEG</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3" w:name="_Toc0000000019"/>
      <w:r>
        <w:rPr/>
        <w:t xml:space="preserve">Report Disclaimer</w:t>
      </w:r>
      <w:bookmarkEnd w:id="2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2F58525"/>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5" Type="http://schemas.openxmlformats.org/officeDocument/2006/relationships/styles" Target="styles.xml" /><Relationship Id="rId6" Type="http://schemas.openxmlformats.org/officeDocument/2006/relationships/settings" Target="settings.xml" /><Relationship Id="rId7" Type="http://schemas.openxmlformats.org/officeDocument/2006/relationships/theme" Target="theme/theme1.xml" /><Relationship Id="rId8" Type="http://schemas.openxmlformats.org/officeDocument/2006/relationships/numbering" Target="numbering.xml" /><Relationship Id="rId1" Type="http://schemas.openxmlformats.org/officeDocument/2006/relationships/footer" Target="footer1.xml" /><Relationship Id="rId9"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