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Ivory Palms Resort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73 Hilton</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Noosaville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Therese Moran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07 5473 1700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ivorypalms@property-vine.com.au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www.ivorypalmsresort.com.au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2026-10-12 14:17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Steps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Ramps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Play Spaces</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Gardening and maintenance department do daily cleans and rounds of the property to ensure clear paths </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including stairwells, have bright edges used on the steps.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Management &amp; Staff are made aware of any guests with accessibility requirements during the reservation &amp; check-in process and on-site management advised. </w:t>
      </w:r>
    </w:p>
    <w:p>
      <w:pPr>
        <w:pStyle w:val="ListBullet"/>
        <w:numPr>
          <w:ilvl w:val="0"/>
          <w:numId w:val="35"/>
        </w:numPr>
        <w:spacing/>
        <w:rPr/>
      </w:pPr>
      <w:r>
        <w:rPr/>
        <w:t xml:space="preserve">In addition, the following further information can assist guests:</w:t>
      </w:r>
    </w:p>
    <w:p>
      <w:pPr>
        <w:spacing/>
        <w:rPr/>
      </w:pPr>
      <w:r>
        <w:rPr/>
        <w:t xml:space="preserve">In the event of an emergency, emergency services will be contacted firstly. Management to attend. </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Grassed areas surround the property </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Online check in</w:t>
      </w:r>
    </w:p>
    <w:p>
      <w:pPr>
        <w:pBdr/>
        <w:spacing/>
        <w:rPr/>
      </w:pPr>
      <w:r>
        <w:rPr/>
        <w:t xml:space="preserve">Contact free check-in</w:t>
      </w:r>
    </w:p>
    <w:p>
      <w:pPr>
        <w:pBdr/>
        <w:spacing/>
        <w:rPr/>
      </w:pPr>
    </w:p>
    <w:p>
      <w:pPr>
        <w:pBdr/>
        <w:spacing/>
        <w:rPr/>
      </w:pPr>
    </w:p>
    <w:p>
      <w:pPr>
        <w:pStyle w:val="ListBullet"/>
        <w:numPr>
          <w:ilvl w:val="0"/>
          <w:numId w:val="35"/>
        </w:numPr>
        <w:spacing/>
        <w:rPr/>
      </w:pPr>
      <w:r>
        <w:rPr/>
        <w:t xml:space="preserve">In addition, the following further information can assist guests:</w:t>
      </w:r>
    </w:p>
    <w:p>
      <w:pPr>
        <w:spacing/>
        <w:rPr/>
      </w:pPr>
      <w:r>
        <w:rPr/>
        <w:t xml:space="preserve">Check-in can be completed online prior to arrival to ensure a seamless check-in with prompt service upon arrival.Keys can be placed in a safe for a contact free check-in in the event the express check-in is completed.</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A drop off area is available in front of reception with level access to guest reception/check-in area</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In addition, the following further information can assist guests:</w:t>
      </w:r>
    </w:p>
    <w:p>
      <w:pPr>
        <w:spacing/>
        <w:rPr/>
      </w:pPr>
      <w:r>
        <w:rPr/>
        <w:t xml:space="preserve">Double doors access reception which are not self opening however are self closing. Our reception staff can assist with access if required. No door mats are applicable.</w:t>
      </w:r>
    </w:p>
    <w:p>
      <w:pPr>
        <w:pStyle w:val="ListBullet"/>
        <w:numPr>
          <w:ilvl w:val="0"/>
          <w:numId w:val="35"/>
        </w:numPr>
        <w:spacing/>
        <w:rPr/>
      </w:pPr>
      <w:r>
        <w:rPr/>
        <w:t xml:space="preserve">In addition, the following further information can assist guests:</w:t>
      </w:r>
    </w:p>
    <w:p>
      <w:pPr>
        <w:spacing/>
        <w:rPr/>
      </w:pPr>
      <w:r>
        <w:rPr/>
        <w:t xml:space="preserve">No lifts onsite</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Natural light for reception with seating available</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In addition, the following further information can assist guests:</w:t>
      </w:r>
    </w:p>
    <w:p>
      <w:pPr>
        <w:spacing/>
        <w:rPr/>
      </w:pPr>
      <w:r>
        <w:rPr/>
        <w:t xml:space="preserve">Areas that have a small number of steps have coloured strips to outline. These can be avoided by taking a longer route if required.</w:t>
      </w:r>
    </w:p>
    <w:p>
      <w:pPr>
        <w:spacing/>
        <w:rPr/>
      </w:pPr>
      <w:r>
        <w:rPr/>
        <w:t xml:space="preserve"> </w:t>
      </w:r>
    </w:p>
    <w:p>
      <w:pPr>
        <w:pStyle w:val="Heading2"/>
        <w:spacing/>
        <w:rPr/>
      </w:pPr>
      <w:bookmarkStart w:id="19" w:name="_Toc0000000015"/>
      <w:r>
        <w:rPr/>
        <w:t xml:space="preserve">Steps</w:t>
      </w:r>
      <w:bookmarkEnd w:id="19"/>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Steps can be avoided in general access area if needed</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Hand rails are fitted</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Ramp is over the pool although not required as you can access the other side on flat ground</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1440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A disabled toilet is available in the vicinity of the pool</w:t>
      </w:r>
    </w:p>
    <w:p>
      <w:pPr>
        <w:pStyle w:val="Heading1"/>
        <w:spacing/>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Room Amenities</w:t>
      </w:r>
      <w:bookmarkEnd w:id="23"/>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In addition, the following further information can assist guests:</w:t>
      </w:r>
    </w:p>
    <w:p>
      <w:pPr>
        <w:spacing/>
        <w:rPr/>
      </w:pPr>
      <w:r>
        <w:rPr/>
        <w:t xml:space="preserve">Apartments are individually furnished. Apartments do not have rails or wider door openings.</w:t>
      </w:r>
    </w:p>
    <w:p>
      <w:pPr>
        <w:pBdr/>
        <w:spacing/>
        <w:rPr/>
      </w:pPr>
      <w:r>
        <w:rPr/>
        <w:t xml:space="preserve">Guests can request apartments on one level for those with reduced mobility.</w:t>
      </w:r>
    </w:p>
    <w:p>
      <w:pPr>
        <w:spacing/>
        <w:rPr/>
      </w:pPr>
      <w:r>
        <w:rPr/>
        <w:t xml:space="preserve"> </w:t>
      </w:r>
    </w:p>
    <w:p>
      <w:pPr>
        <w:pStyle w:val="Heading2"/>
        <w:spacing/>
        <w:rPr/>
      </w:pPr>
      <w:bookmarkStart w:id="24" w:name="_Toc0000000020"/>
      <w:r>
        <w:rPr/>
        <w:t xml:space="preserve">Bathrooms</w:t>
      </w:r>
      <w:bookmarkEnd w:id="24"/>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 width beside the toilet is varies.</w:t>
      </w:r>
    </w:p>
    <w:p>
      <w:pPr>
        <w:pStyle w:val="ListBullet"/>
        <w:numPr>
          <w:ilvl w:val="0"/>
          <w:numId w:val="35"/>
        </w:numPr>
        <w:spacing/>
        <w:rPr/>
      </w:pPr>
      <w:r>
        <w:rPr/>
        <w:t xml:space="preserve">There is varies mm of clear space in front of the toilet</w:t>
      </w:r>
    </w:p>
    <w:p>
      <w:pPr>
        <w:pStyle w:val="ListBullet"/>
        <w:numPr>
          <w:ilvl w:val="0"/>
          <w:numId w:val="35"/>
        </w:numPr>
        <w:spacing/>
        <w:rPr/>
      </w:pPr>
      <w:r>
        <w:rPr/>
        <w:t xml:space="preserve">The actual height of the toilet seat is 400.</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Subtitle"/>
        <w:spacing/>
        <w:rPr/>
      </w:pPr>
      <w:r>
        <w:rPr/>
        <w:t xml:space="preserve">Bathroom Image(s)</w:t>
      </w:r>
    </w:p>
    <w:p>
      <w:pPr>
        <w:spacing/>
        <w:rPr/>
      </w:pPr>
      <w:r>
        <w:rPr/>
        <w:drawing>
          <wp:inline>
            <wp:extent cx="2540000" cy="16891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689100"/>
                    </a:xfrm>
                    <a:prstGeom prst="rect">
                      <a:avLst/>
                    </a:prstGeom>
                  </pic:spPr>
                </pic:pic>
              </a:graphicData>
            </a:graphic>
          </wp:inline>
        </w:drawing>
      </w:r>
    </w:p>
    <w:p>
      <w:pPr>
        <w:spacing/>
        <w:rPr/>
      </w:pPr>
      <w:r>
        <w:rPr/>
        <w:t xml:space="preserve">Bathroom</w:t>
      </w:r>
    </w:p>
    <w:p>
      <w:pPr>
        <w:pStyle w:val="ListBullet"/>
        <w:numPr>
          <w:ilvl w:val="0"/>
          <w:numId w:val="35"/>
        </w:numPr>
        <w:spacing/>
        <w:rPr/>
      </w:pPr>
      <w:r>
        <w:rPr/>
        <w:t xml:space="preserve">In addition, the following further information can assist guests:</w:t>
      </w:r>
    </w:p>
    <w:p>
      <w:pPr>
        <w:spacing/>
        <w:rPr/>
      </w:pPr>
      <w:r>
        <w:rPr/>
        <w:t xml:space="preserve">Bathroom layouts do vary and we recommend guests discussing options with our staff</w:t>
      </w:r>
    </w:p>
    <w:p>
      <w:pPr>
        <w:pStyle w:val="Heading1"/>
        <w:spacing/>
        <w:rPr/>
      </w:pPr>
      <w:bookmarkStart w:id="25" w:name="_Toc0000000021"/>
      <w:r>
        <w:rPr/>
        <w:t xml:space="preserve">COMMON AREAS</w:t>
      </w:r>
      <w:bookmarkEnd w:id="25"/>
    </w:p>
    <w:p>
      <w:pPr>
        <w:spacing/>
        <w:rPr/>
      </w:pPr>
      <w:r>
        <w:rPr/>
        <w:t xml:space="preserve"> </w:t>
      </w:r>
    </w:p>
    <w:p>
      <w:pPr>
        <w:pStyle w:val="Heading2"/>
        <w:spacing/>
        <w:rPr/>
      </w:pPr>
      <w:bookmarkStart w:id="26" w:name="_Toc0000000022"/>
      <w:r>
        <w:rPr/>
        <w:t xml:space="preserve">Play Spaces</w:t>
      </w:r>
      <w:bookmarkEnd w:id="26"/>
    </w:p>
    <w:p>
      <w:pPr>
        <w:pStyle w:val="ListBullet"/>
        <w:numPr>
          <w:ilvl w:val="0"/>
          <w:numId w:val="35"/>
        </w:numPr>
        <w:spacing/>
        <w:rPr/>
      </w:pPr>
      <w:r>
        <w:rPr/>
        <w:t xml:space="preserve">Level access is provided to play spaces</w:t>
      </w:r>
    </w:p>
    <w:p>
      <w:pPr>
        <w:pStyle w:val="ListBullet"/>
        <w:numPr>
          <w:ilvl w:val="0"/>
          <w:numId w:val="35"/>
        </w:numPr>
        <w:spacing/>
        <w:rPr/>
      </w:pPr>
      <w:r>
        <w:rPr/>
        <w:t xml:space="preserve">Ramps provided are at least 25% of elevated sections of the play space</w:t>
      </w:r>
    </w:p>
    <w:p>
      <w:pPr>
        <w:pStyle w:val="ListBullet"/>
        <w:numPr>
          <w:ilvl w:val="0"/>
          <w:numId w:val="35"/>
        </w:numPr>
        <w:spacing/>
        <w:rPr/>
      </w:pPr>
      <w:r>
        <w:rPr/>
        <w:t xml:space="preserve">The surface of the play space is of a composite or rubberized material</w:t>
      </w:r>
    </w:p>
    <w:p>
      <w:pPr>
        <w:pStyle w:val="ListBullet"/>
        <w:numPr>
          <w:ilvl w:val="0"/>
          <w:numId w:val="35"/>
        </w:numPr>
        <w:spacing/>
        <w:rPr/>
      </w:pPr>
      <w:r>
        <w:rPr/>
        <w:t xml:space="preserve">The play space contains cognitive play panels</w:t>
      </w:r>
    </w:p>
    <w:p>
      <w:pPr>
        <w:pStyle w:val="ListBullet"/>
        <w:numPr>
          <w:ilvl w:val="0"/>
          <w:numId w:val="35"/>
        </w:numPr>
        <w:spacing/>
        <w:rPr/>
      </w:pPr>
      <w:r>
        <w:rPr/>
        <w:t xml:space="preserve">The play space contains tactile play panels or activities</w:t>
      </w:r>
    </w:p>
    <w:p>
      <w:pPr>
        <w:pStyle w:val="ListBullet"/>
        <w:numPr>
          <w:ilvl w:val="0"/>
          <w:numId w:val="35"/>
        </w:numPr>
        <w:spacing/>
        <w:rPr/>
      </w:pPr>
      <w:r>
        <w:rPr/>
        <w:t xml:space="preserve">The space contain colour contrasting elements</w:t>
      </w:r>
    </w:p>
    <w:p>
      <w:pPr>
        <w:pStyle w:val="Subtitle"/>
        <w:spacing/>
        <w:rPr/>
      </w:pPr>
      <w:r>
        <w:rPr/>
        <w:t xml:space="preserve">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IMG_9699</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entrances</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rampoverpool</w:t>
      </w:r>
    </w:p>
    <w:p>
      <w:pPr>
        <w:spacing/>
        <w:rPr/>
      </w:pPr>
      <w:r>
        <w:rPr/>
        <w:t xml:space="preserve"> </w:t>
      </w:r>
    </w:p>
    <w:p>
      <w:pPr>
        <w:pStyle w:val="Heading2"/>
        <w:spacing/>
        <w:rPr/>
      </w:pPr>
      <w:bookmarkStart w:id="27" w:name="_Toc0000000023"/>
      <w:r>
        <w:rPr/>
        <w:t xml:space="preserve">Swimming pools, spas and waterparks</w:t>
      </w:r>
      <w:bookmarkEnd w:id="27"/>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Unisex change facilities with an accessible toilet</w:t>
      </w:r>
    </w:p>
    <w:p>
      <w:pPr>
        <w:pStyle w:val="Subtitle"/>
        <w:spacing/>
        <w:rPr/>
      </w:pPr>
      <w:r>
        <w:rPr/>
        <w:t xml:space="preserve">Pool Access Image(s)</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walkin pool3</w:t>
      </w:r>
    </w:p>
    <w:p>
      <w:pPr>
        <w:spacing/>
        <w:rPr/>
      </w:pPr>
      <w:r>
        <w:rPr/>
        <w:drawing>
          <wp:inline>
            <wp:extent cx="2540000" cy="16891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891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walkinpool2</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DA668D7"/>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8" Type="http://schemas.openxmlformats.org/officeDocument/2006/relationships/styles" Target="styles.xml" /><Relationship Id="rId9"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 Type="http://schemas.openxmlformats.org/officeDocument/2006/relationships/footer" Target="footer1.xml" /><Relationship Id="rId12"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