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Australian Journeys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24a Andrew street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Ringwood</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Adam Firmin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0411788289</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info@australianjourneys.com.au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www.australianjourneys.com.au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2026-07-29 07:19</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_Toc0000000009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_Toc0000000012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Guides</w:t>
          </w:r>
          <w:r>
            <w:rPr/>
            <w:tab/>
            <w:t xml:space="preserve"/>
          </w:r>
          <w:r>
            <w:rPr/>
            <w:fldChar w:fldCharType="begin"/>
          </w:r>
          <w:r>
            <w:rPr/>
            <w:instrText xml:space="preserve">PAGEREF _Toc0000000013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_Toc0000000014 \h</w:instrText>
          </w:r>
          <w:r>
            <w:rPr/>
            <w:fldChar w:fldCharType="separate"/>
          </w:r>
          <w:r>
            <w:rPr/>
            <w:t xml:space="preserve">9</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266950" cy="70485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266950" cy="70485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yes as state requirement for buses</w:t>
      </w:r>
    </w:p>
    <w:p>
      <w:pPr>
        <w:spacing/>
        <w:rPr/>
      </w:pPr>
      <w:r>
        <w:rPr/>
        <w:t xml:space="preserve">The business identifies guests who need additional assistance should an emergency occur by: </w:t>
      </w:r>
    </w:p>
    <w:p>
      <w:pPr>
        <w:pBdr/>
        <w:spacing/>
        <w:rPr/>
      </w:pPr>
      <w:r>
        <w:rPr/>
        <w:t xml:space="preserve">his is integrated into our pre-tour communication and booking processes.  During booking, guests are invited to share any specific needs, medical conditions, mobility concerns, or accessibility requirements in a confidential and respectful manner. </w:t>
      </w:r>
    </w:p>
    <w:p>
      <w:pPr>
        <w:spacing/>
        <w:rPr/>
      </w:pPr>
      <w:r>
        <w:rPr/>
        <w:t xml:space="preserve">The procedure for assisting guests who need assisted rescue is: </w:t>
      </w:r>
    </w:p>
    <w:p>
      <w:pPr>
        <w:pBdr/>
        <w:spacing/>
        <w:rPr/>
      </w:pPr>
      <w:r>
        <w:rPr/>
        <w:t xml:space="preserve">In the event of an emergency, guides follow a documented response protocol:  Quickly assess the situation and prioritize the safety of all guests  Provide calm, clear instructions verbally and visually  Assist guests with limited mobility or special needs first, without compromising their dignity  Use mobility aids if necessary or coordinate with emergency services for support  Keep the group informed and reassured while maintaining overall control of the situation  4. Collaboration with Emergency Services  If professional rescue is required, guides communicate guest-specific needs to first responders (e.g., inability to walk, oxygen requirements, or autism spectrum considerations).  Our emergency contact list and guest medical info (provided voluntarily) are on hand and securely stored for such scenarios.</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our customers are in vehicles only</w:t>
      </w:r>
    </w:p>
    <w:p>
      <w:pPr>
        <w:spacing/>
        <w:rPr/>
      </w:pPr>
      <w:r>
        <w:rPr/>
        <w:t xml:space="preserve"> </w:t>
      </w:r>
    </w:p>
    <w:p>
      <w:pPr>
        <w:pStyle w:val="Heading2"/>
        <w:spacing/>
        <w:rPr/>
      </w:pPr>
      <w:bookmarkStart w:id="10" w:name="_Toc0000000006"/>
      <w:r>
        <w:rPr/>
        <w:t xml:space="preserve">Guide Dog and Service Animals</w:t>
      </w:r>
      <w:bookmarkEnd w:id="10"/>
    </w:p>
    <w:p>
      <w:pPr>
        <w:spacing/>
        <w:rPr/>
      </w:pPr>
      <w:r>
        <w:rPr/>
        <w:t xml:space="preserve">The business provides the following services for services animals: </w:t>
      </w:r>
    </w:p>
    <w:p>
      <w:pPr>
        <w:pBdr/>
        <w:spacing/>
        <w:rPr/>
      </w:pPr>
      <w:r>
        <w:rPr/>
        <w:t xml:space="preserve">as a CPV driver we are not allowed to reject people with service animals as part of agreeing to provide transport</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 addition, the following further information can assist guests:</w:t>
      </w:r>
    </w:p>
    <w:p>
      <w:pPr>
        <w:spacing/>
        <w:rPr/>
      </w:pPr>
      <w:r>
        <w:rPr/>
        <w:t xml:space="preserve">any attractions we would be visiting would would know prior to the tour commencement. We would provide this information during the booking process&amp;nbsp;</w:t>
      </w:r>
    </w:p>
    <w:p>
      <w:pPr>
        <w:spacing/>
        <w:rPr/>
      </w:pPr>
      <w:r>
        <w:rPr/>
        <w:t xml:space="preserve"> </w:t>
      </w:r>
    </w:p>
    <w:p>
      <w:pPr>
        <w:pStyle w:val="Heading2"/>
        <w:spacing/>
        <w:rPr/>
      </w:pPr>
      <w:bookmarkStart w:id="13" w:name="_Toc0000000009"/>
      <w:r>
        <w:rPr/>
        <w:t xml:space="preserve">Displays, exhibits, commentary and live performances</w:t>
      </w:r>
      <w:bookmarkEnd w:id="13"/>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A written transcript where audio description is provided i.e. display commentary, tour commentary</w:t>
      </w:r>
    </w:p>
    <w:p>
      <w:pPr>
        <w:spacing/>
        <w:rPr/>
      </w:pPr>
      <w:r>
        <w:rPr/>
        <w:t xml:space="preserve">The width of the smallest pathway is: </w:t>
      </w:r>
    </w:p>
    <w:p>
      <w:pPr>
        <w:pBdr/>
        <w:spacing/>
        <w:rPr/>
      </w:pPr>
      <w:r>
        <w:rPr/>
        <w:t xml:space="preserve">our customers are in vehicles only</w:t>
      </w:r>
    </w:p>
    <w:p>
      <w:pPr>
        <w:spacing/>
        <w:rPr/>
      </w:pPr>
    </w:p>
    <w:p>
      <w:pPr>
        <w:pBdr/>
        <w:spacing/>
        <w:rPr/>
      </w:pPr>
      <w:r>
        <w:rPr/>
        <w:t xml:space="preserve">our customers are in vehicles only</w:t>
      </w:r>
    </w:p>
    <w:p>
      <w:pPr>
        <w:spacing/>
        <w:rPr/>
      </w:pPr>
    </w:p>
    <w:p>
      <w:pPr>
        <w:pBdr/>
        <w:spacing/>
        <w:rPr/>
      </w:pPr>
      <w:r>
        <w:rPr/>
        <w:t xml:space="preserve">our customers are in vehicles only</w:t>
      </w:r>
    </w:p>
    <w:p>
      <w:pPr>
        <w:pStyle w:val="ListBullet"/>
        <w:numPr>
          <w:ilvl w:val="0"/>
          <w:numId w:val="35"/>
        </w:numPr>
        <w:spacing/>
        <w:rPr/>
      </w:pPr>
      <w:r>
        <w:rPr/>
        <w:t xml:space="preserve">In addition, the following further information can assist guests:</w:t>
      </w:r>
    </w:p>
    <w:p>
      <w:pPr>
        <w:spacing/>
        <w:rPr/>
      </w:pPr>
      <w:r>
        <w:rPr/>
        <w:t xml:space="preserve">our customers are in vehicles only</w:t>
      </w:r>
    </w:p>
    <w:p>
      <w:pPr>
        <w:pStyle w:val="Heading1"/>
        <w:spacing/>
        <w:rPr/>
      </w:pPr>
      <w:bookmarkStart w:id="14" w:name="_Toc0000000010"/>
      <w:r>
        <w:rPr/>
        <w:t xml:space="preserve">TOUR OPERATORS</w:t>
      </w:r>
      <w:bookmarkEnd w:id="14"/>
    </w:p>
    <w:p>
      <w:pPr>
        <w:spacing/>
        <w:rPr/>
      </w:pPr>
      <w:r>
        <w:rPr/>
        <w:t xml:space="preserve"> </w:t>
      </w:r>
    </w:p>
    <w:p>
      <w:pPr>
        <w:pStyle w:val="Heading2"/>
        <w:spacing/>
        <w:rPr/>
      </w:pPr>
      <w:bookmarkStart w:id="15" w:name="_Toc0000000011"/>
      <w:r>
        <w:rPr/>
        <w:t xml:space="preserve">Tour/Transport Services</w:t>
      </w:r>
      <w:bookmarkEnd w:id="15"/>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None vehicles have wheelchair lifts or ramps</w:t>
      </w:r>
    </w:p>
    <w:p>
      <w:pPr>
        <w:pStyle w:val="ListBullet"/>
        <w:numPr>
          <w:ilvl w:val="0"/>
          <w:numId w:val="35"/>
        </w:numPr>
        <w:spacing/>
        <w:rPr/>
      </w:pPr>
      <w:r>
        <w:rPr/>
        <w:t xml:space="preserve">None vehicles have low floors with ramped entry</w:t>
      </w:r>
    </w:p>
    <w:p>
      <w:pPr>
        <w:spacing/>
        <w:rPr/>
      </w:pPr>
      <w:r>
        <w:rPr/>
        <w:t xml:space="preserve">The maximum wheelchair capacity available in the fleet is: </w:t>
      </w:r>
    </w:p>
    <w:p>
      <w:pPr>
        <w:pBdr/>
        <w:spacing/>
        <w:rPr/>
      </w:pPr>
      <w:r>
        <w:rPr/>
        <w:t xml:space="preserve">0</w:t>
      </w:r>
    </w:p>
    <w:p>
      <w:pPr>
        <w:pStyle w:val="ListBullet"/>
        <w:numPr>
          <w:ilvl w:val="0"/>
          <w:numId w:val="35"/>
        </w:numPr>
        <w:spacing/>
        <w:rPr/>
      </w:pPr>
      <w:r>
        <w:rPr/>
        <w:t xml:space="preserve">Commentary is available in written format</w:t>
      </w:r>
    </w:p>
    <w:p>
      <w:pPr>
        <w:spacing/>
        <w:rPr/>
      </w:pPr>
      <w:r>
        <w:rPr/>
        <w:t xml:space="preserve"> </w:t>
      </w:r>
    </w:p>
    <w:p>
      <w:pPr>
        <w:pStyle w:val="Heading2"/>
        <w:spacing/>
        <w:rPr/>
      </w:pPr>
      <w:bookmarkStart w:id="16" w:name="_Toc0000000012"/>
      <w:r>
        <w:rPr/>
        <w:t xml:space="preserve">Route Planning</w:t>
      </w:r>
      <w:bookmarkEnd w:id="16"/>
    </w:p>
    <w:p>
      <w:pPr>
        <w:pStyle w:val="ListBullet"/>
        <w:numPr>
          <w:ilvl w:val="0"/>
          <w:numId w:val="35"/>
        </w:numPr>
        <w:spacing/>
        <w:rPr/>
      </w:pPr>
      <w:r>
        <w:rPr/>
        <w:t xml:space="preserve">Route Planning</w:t>
      </w:r>
    </w:p>
    <w:p>
      <w:pPr>
        <w:pStyle w:val="ListBullet"/>
        <w:numPr>
          <w:ilvl w:val="0"/>
          <w:numId w:val="35"/>
        </w:numPr>
        <w:spacing/>
        <w:rPr/>
      </w:pPr>
      <w:r>
        <w:rPr/>
        <w:t xml:space="preserve">The tour route includes stops with accessible toilet facilities</w:t>
      </w:r>
    </w:p>
    <w:p>
      <w:pPr>
        <w:pStyle w:val="ListBullet"/>
        <w:numPr>
          <w:ilvl w:val="0"/>
          <w:numId w:val="35"/>
        </w:numPr>
        <w:spacing/>
        <w:rPr/>
      </w:pPr>
      <w:r>
        <w:rPr/>
        <w:t xml:space="preserve">In addition, the following further information can assist guests:</w:t>
      </w:r>
    </w:p>
    <w:p>
      <w:pPr>
        <w:spacing/>
        <w:rPr/>
      </w:pPr>
      <w:r>
        <w:rPr/>
        <w:t xml:space="preserve">If advised during booking process that an accessible toilet is required we will build the itinerary to allow for this through out the day&amp;nbsp;</w:t>
      </w:r>
    </w:p>
    <w:p>
      <w:pPr>
        <w:pStyle w:val="ListBullet"/>
        <w:numPr>
          <w:ilvl w:val="0"/>
          <w:numId w:val="35"/>
        </w:numPr>
        <w:spacing/>
        <w:rPr/>
      </w:pPr>
      <w:r>
        <w:rPr/>
        <w:t xml:space="preserve">Lunch stop venues are accessible</w:t>
      </w:r>
    </w:p>
    <w:p>
      <w:pPr>
        <w:pStyle w:val="ListBullet"/>
        <w:numPr>
          <w:ilvl w:val="0"/>
          <w:numId w:val="35"/>
        </w:numPr>
        <w:spacing/>
        <w:rPr/>
      </w:pPr>
      <w:r>
        <w:rPr/>
        <w:t xml:space="preserve">Sightseeing and photo opportunity stops are step free</w:t>
      </w:r>
    </w:p>
    <w:p>
      <w:pPr>
        <w:pStyle w:val="ListBullet"/>
        <w:numPr>
          <w:ilvl w:val="0"/>
          <w:numId w:val="35"/>
        </w:numPr>
        <w:spacing/>
        <w:rPr/>
      </w:pPr>
      <w:r>
        <w:rPr/>
        <w:t xml:space="preserve">Walking Tours</w:t>
      </w:r>
    </w:p>
    <w:p>
      <w:pPr>
        <w:pStyle w:val="ListBullet"/>
        <w:numPr>
          <w:ilvl w:val="0"/>
          <w:numId w:val="35"/>
        </w:numPr>
        <w:spacing/>
        <w:rPr/>
      </w:pPr>
      <w:r>
        <w:rPr/>
        <w:t xml:space="preserve">Operated on a step free route</w:t>
      </w:r>
    </w:p>
    <w:p>
      <w:pPr>
        <w:pStyle w:val="ListBullet"/>
        <w:numPr>
          <w:ilvl w:val="0"/>
          <w:numId w:val="35"/>
        </w:numPr>
        <w:spacing/>
        <w:rPr/>
      </w:pPr>
      <w:r>
        <w:rPr/>
        <w:t xml:space="preserve">Multi-paced to account for slower walkers</w:t>
      </w:r>
    </w:p>
    <w:p>
      <w:pPr>
        <w:spacing/>
        <w:rPr/>
      </w:pPr>
      <w:r>
        <w:rPr/>
        <w:t xml:space="preserve"> </w:t>
      </w:r>
    </w:p>
    <w:p>
      <w:pPr>
        <w:pStyle w:val="Heading2"/>
        <w:spacing/>
        <w:rPr/>
      </w:pPr>
      <w:bookmarkStart w:id="17" w:name="_Toc0000000013"/>
      <w:r>
        <w:rPr/>
        <w:t xml:space="preserve">Guides</w:t>
      </w:r>
      <w:bookmarkEnd w:id="17"/>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Subtitle"/>
        <w:spacing/>
        <w:rPr/>
      </w:pPr>
      <w:r>
        <w:rPr/>
        <w:t xml:space="preserve">Image(s)</w:t>
      </w:r>
    </w:p>
    <w:p>
      <w:pPr>
        <w:spacing/>
        <w:rPr/>
      </w:pPr>
      <w:r>
        <w:rPr/>
        <w:drawing>
          <wp:inline>
            <wp:extent cx="2247900" cy="2540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247900" cy="2540000"/>
                    </a:xfrm>
                    <a:prstGeom prst="rect">
                      <a:avLst/>
                    </a:prstGeom>
                  </pic:spPr>
                </pic:pic>
              </a:graphicData>
            </a:graphic>
          </wp:inline>
        </w:drawing>
      </w:r>
    </w:p>
    <w:p>
      <w:pPr>
        <w:spacing/>
        <w:rPr/>
      </w:pPr>
      <w:r>
        <w:rPr/>
        <w:t xml:space="preserve">11 seater mini bus interior</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Puffing BillyPhillip Island Nature parksMoonlit SanctuaryPt Leo EstateRare Hare wineryRahona Valley WineryBarmah Park Cellar Door &amp;amp; RestaurantRochford WinesOakridge WinesChandon&amp;nbsp;Healesville Sanctuary As a private Tour operator we visit many more this list is not complete but mentions&amp;nbsp;</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18" w:name="_Toc0000000014"/>
      <w:r>
        <w:rPr/>
        <w:t xml:space="preserve">Report Disclaimer</w:t>
      </w:r>
      <w:bookmarkEnd w:id="18"/>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2497B747"/>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4" Type="http://schemas.openxmlformats.org/officeDocument/2006/relationships/styles" Target="styles.xml" /><Relationship Id="rId5" Type="http://schemas.openxmlformats.org/officeDocument/2006/relationships/settings" Target="settings.xml" /><Relationship Id="rId6" Type="http://schemas.openxmlformats.org/officeDocument/2006/relationships/theme" Target="theme/theme1.xml" /><Relationship Id="rId7" Type="http://schemas.openxmlformats.org/officeDocument/2006/relationships/numbering" Target="numbering.xml" /><Relationship Id="rId1" Type="http://schemas.openxmlformats.org/officeDocument/2006/relationships/footer" Target="footer1.xml" /><Relationship Id="rId8"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png" /><Relationship Id="rId9" Type="http://schemas.openxmlformats.org/officeDocument/2006/relationships/customXml" Target="../customXml/item1.xml" /><Relationship Id="rId10" Type="http://schemas.openxmlformats.org/officeDocument/2006/relationships/customXml" Target="../customXml/item2.xml" /><Relationship Id="rId11" Type="http://schemas.openxmlformats.org/officeDocument/2006/relationships/customXml" Target="../customXml/item3.xml" /><Relationship Id="rId12"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