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GERALD APARTMENT HOTEL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25 Cathedral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Geraldton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Gemma  Clark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0414394809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hello@thegerald.com.au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www.thegerald.com.au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2026-11-08 21:30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_Toc0000000029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476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476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Pre-arrival Communication: Guests with fatigue-related disabilities can contact the hotel in advance to inform them of their needs. This allows the hotel to prepare accommodations and streamline the check-in process.</w:t>
      </w:r>
    </w:p>
    <w:p>
      <w:pPr>
        <w:pBdr/>
        <w:spacing/>
        <w:rPr/>
      </w:pPr>
      <w:r>
        <w:rPr/>
        <w:t xml:space="preserve">Priority Check-in: Upon arrival, guests can notify the hotel staff of their pre-arranged accommodations. They will be given priority check-in to minimize wait times at the reception desk wherever possible.</w:t>
      </w:r>
    </w:p>
    <w:p>
      <w:pPr>
        <w:pBdr/>
        <w:spacing/>
        <w:rPr/>
      </w:pPr>
      <w:r>
        <w:rPr/>
        <w:t xml:space="preserve">Comfortable Waiting Area: During the check-in process, guests can relax in a comfortable waiting area equipped with supportive seating and access to refreshments.</w:t>
      </w:r>
    </w:p>
    <w:p>
      <w:pPr>
        <w:pBdr/>
        <w:spacing/>
        <w:rPr/>
      </w:pPr>
      <w:r>
        <w:rPr/>
        <w:t xml:space="preserve">Virtual Check-in Option: Alternatively, guests can choose to complete the check-in process online before arrival. This allows them to bypass the reception desk entirely and head straight to their apartment upon arrival.</w:t>
      </w:r>
    </w:p>
    <w:p>
      <w:pPr>
        <w:pBdr/>
        <w:spacing/>
        <w:rPr/>
      </w:pPr>
      <w:r>
        <w:rPr/>
        <w:t xml:space="preserve">Empathetic Support: Hotel staff are trained to provide empathetic support and clear communication to assist guests with fatigue-related disabilities throughout the check-in process.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 metres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4" w:name="_Toc0000000020"/>
      <w:r>
        <w:rPr/>
        <w:t xml:space="preserve">ACCOMMODATION</w:t>
      </w:r>
      <w:bookmarkEnd w:id="24"/>
    </w:p>
    <w:p>
      <w:pPr>
        <w:spacing/>
        <w:rPr/>
      </w:pPr>
      <w:r>
        <w:rPr/>
        <w:t xml:space="preserve"> </w:t>
      </w:r>
    </w:p>
    <w:p>
      <w:pPr>
        <w:pStyle w:val="Heading2"/>
        <w:spacing/>
        <w:rPr/>
      </w:pPr>
      <w:bookmarkStart w:id="25" w:name="_Toc0000000021"/>
      <w:r>
        <w:rPr/>
        <w:t xml:space="preserve">Bedrooms</w:t>
      </w:r>
      <w:bookmarkEnd w:id="25"/>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Classic-King-Studio-Wheelchair-Friendly-–-1</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Classic-King-Studio-Wheelchair-Friendly-–-2</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Classic-King-Studio-Wheelchair-Friendly-–-3</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Classic-King-Studio-Wheelchair-Friendly-–-7</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Classic-King-Studio-Wheelchair-Friendly-–-6</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Classic-King-Studio-Wheelchair-Friendly-–-5</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Classic-King-Studio-Wheelchair-Friendly-–-4</w:t>
      </w:r>
    </w:p>
    <w:p>
      <w:pPr>
        <w:spacing/>
        <w:rPr/>
      </w:pPr>
      <w:r>
        <w:rPr/>
        <w:t xml:space="preserve"> </w:t>
      </w:r>
    </w:p>
    <w:p>
      <w:pPr>
        <w:pStyle w:val="Heading2"/>
        <w:spacing/>
        <w:rPr/>
      </w:pPr>
      <w:bookmarkStart w:id="26" w:name="_Toc0000000022"/>
      <w:r>
        <w:rPr/>
        <w:t xml:space="preserve">Room Amenities</w:t>
      </w:r>
      <w:bookmarkEnd w:id="26"/>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7" w:name="_Toc0000000023"/>
      <w:r>
        <w:rPr/>
        <w:t xml:space="preserve">Bathrooms</w:t>
      </w:r>
      <w:bookmarkEnd w:id="2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9"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Classic-King-Studio-Wheelchair-Friendly-–-5</w:t>
      </w:r>
    </w:p>
    <w:p>
      <w:pPr>
        <w:pStyle w:val="Heading1"/>
        <w:spacing/>
        <w:rPr/>
      </w:pPr>
      <w:bookmarkStart w:id="28" w:name="_Toc0000000024"/>
      <w:r>
        <w:rPr/>
        <w:t xml:space="preserve">COMMON AREAS</w:t>
      </w:r>
      <w:bookmarkEnd w:id="28"/>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Staff are qualified with a food safety handling certification</w:t>
      </w:r>
    </w:p>
    <w:p>
      <w:pPr>
        <w:pBdr/>
        <w:spacing/>
        <w:rPr/>
      </w:pPr>
      <w:r>
        <w:rPr/>
        <w:t xml:space="preserve">Separate Work Areas: Use different areas for handling raw meats, vegetables, and cooked foods.Color-Coded Tools: Assign specific colors to cutting boards and utensils for different food groups (e.g., red for meat, green for veggies) to avoid mixing.Clean Surfaces: Wash and sanitize countertops, cutting boards, and utensils before and after use with hot, soapy water.Store Smartly: Keep raw meats separate from ready-to-eat foods in the fridge. Store raw meats on lower shelves to prevent drips.Safe Thawing: Thaw frozen foods in the fridge, under cold water, or in the microwave, not at room temperature.Use Separate Tools: Use different utensils and gloves for raw and cooked foods, and wash hands thoroughly.Cook Well: Cook meats to safe temperatures using a food thermometer to kill bacteria.One-Time Marinades: Don't reuse marinades from raw meats. If you want sauce, set some aside before marinating.First In, First Out: Rotate food supplies to use the oldest items first to avoid spoilage.Training: Train staff on these simple rules and supervise their compliance.Regular Checks: Have someone oversee food handling regularly to ensure rules are followed.Keep Records: Document procedures and conduct occasional checks to maintain standards.</w:t>
      </w:r>
    </w:p>
    <w:p>
      <w:pPr>
        <w:pBdr/>
        <w:spacing/>
        <w:rPr/>
      </w:pP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https://webbox-assets.siteminder.com/assets/ajjddvrnrxdnrlfd/7d033be5-1968-4bb7-8086-769f8974f7f8.png</w:t>
      </w:r>
    </w:p>
    <w:p>
      <w:pPr>
        <w:pStyle w:val="Subtitle"/>
        <w:spacing/>
        <w:rPr/>
      </w:pPr>
      <w:r>
        <w:rPr/>
        <w:t xml:space="preserve">Food and Beverage Image(s)</w:t>
      </w:r>
    </w:p>
    <w:p>
      <w:pPr>
        <w:spacing/>
        <w:rPr/>
      </w:pPr>
      <w:r>
        <w:rPr/>
        <w:drawing>
          <wp:inline>
            <wp:extent cx="2540000" cy="1689100"/>
            <wp:docPr id="10"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DSC03255 (1)</w:t>
      </w:r>
    </w:p>
    <w:p>
      <w:pPr>
        <w:spacing/>
        <w:rPr/>
      </w:pPr>
      <w:r>
        <w:rPr/>
        <w:drawing>
          <wp:inline>
            <wp:extent cx="2540000" cy="1689100"/>
            <wp:docPr id="11"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DSC03259</w:t>
      </w:r>
    </w:p>
    <w:p>
      <w:pPr>
        <w:spacing/>
        <w:rPr/>
      </w:pPr>
      <w:r>
        <w:rPr/>
        <w:drawing>
          <wp:inline>
            <wp:extent cx="2540000" cy="1689100"/>
            <wp:docPr id="12"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DSC03239 copy</w:t>
      </w:r>
    </w:p>
    <w:p>
      <w:pPr>
        <w:spacing/>
        <w:rPr/>
      </w:pPr>
      <w:r>
        <w:rPr/>
        <w:drawing>
          <wp:inline>
            <wp:extent cx="2540000" cy="1689100"/>
            <wp:docPr id="1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689100"/>
                    </a:xfrm>
                    <a:prstGeom prst="rect">
                      <a:avLst/>
                    </a:prstGeom>
                  </pic:spPr>
                </pic:pic>
              </a:graphicData>
            </a:graphic>
          </wp:inline>
        </w:drawing>
      </w:r>
    </w:p>
    <w:p>
      <w:pPr>
        <w:spacing/>
        <w:rPr/>
      </w:pPr>
      <w:r>
        <w:rPr/>
        <w:t xml:space="preserve">DSC03241 copy</w:t>
      </w:r>
    </w:p>
    <w:p>
      <w:pPr>
        <w:pStyle w:val="Heading1"/>
        <w:spacing/>
        <w:rPr/>
      </w:pPr>
      <w:bookmarkStart w:id="31" w:name="_Toc0000000027"/>
      <w:r>
        <w:rPr/>
        <w:t xml:space="preserve">EVENTS</w:t>
      </w:r>
      <w:bookmarkEnd w:id="31"/>
    </w:p>
    <w:p>
      <w:pPr>
        <w:spacing/>
        <w:rPr/>
      </w:pPr>
      <w:r>
        <w:rPr/>
        <w:t xml:space="preserve"> </w:t>
      </w:r>
    </w:p>
    <w:p>
      <w:pPr>
        <w:pStyle w:val="Heading2"/>
        <w:spacing/>
        <w:rPr/>
      </w:pPr>
      <w:bookmarkStart w:id="32" w:name="_Toc0000000028"/>
      <w:r>
        <w:rPr/>
        <w:t xml:space="preserve">Events</w:t>
      </w:r>
      <w:bookmarkEnd w:id="32"/>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3" w:name="_Toc0000000029"/>
      <w:r>
        <w:rPr/>
        <w:t xml:space="preserve">Report Disclaimer</w:t>
      </w:r>
      <w:bookmarkEnd w:id="3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268C74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4" Type="http://schemas.openxmlformats.org/officeDocument/2006/relationships/styles" Target="styles.xml" /><Relationship Id="rId15" Type="http://schemas.openxmlformats.org/officeDocument/2006/relationships/settings" Target="settings.xml" /><Relationship Id="rId16" Type="http://schemas.openxmlformats.org/officeDocument/2006/relationships/theme" Target="theme/theme1.xml" /><Relationship Id="rId17" Type="http://schemas.openxmlformats.org/officeDocument/2006/relationships/numbering" Target="numbering.xml" /><Relationship Id="rId1" Type="http://schemas.openxmlformats.org/officeDocument/2006/relationships/footer" Target="footer1.xml" /><Relationship Id="rId1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