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Valentino Holidays Pty Ltd</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62 Mcdowell Street</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Welshpool</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Thanh Phan</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0413 71 8899</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australia@valentinoholidays.com.au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www.valentinoholidays.com.au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2026-05-31 01:00</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GENERAL</w:t>
          </w:r>
          <w:r>
            <w:rPr/>
            <w:tab/>
            <w:t xml:space="preserve"/>
          </w:r>
          <w:r>
            <w:rPr/>
            <w:fldChar w:fldCharType="begin"/>
          </w:r>
          <w:r>
            <w:rPr/>
            <w:instrText xml:space="preserve">PAGEREF _Toc0000000006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Entry</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_Toc0000000010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Tour/Transport Services</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Guides</w:t>
          </w:r>
          <w:r>
            <w:rPr/>
            <w:tab/>
            <w:t xml:space="preserve"/>
          </w:r>
          <w:r>
            <w:rPr/>
            <w:fldChar w:fldCharType="begin"/>
          </w:r>
          <w:r>
            <w:rPr/>
            <w:instrText xml:space="preserve">PAGEREF _Toc0000000016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_Toc0000000017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_Toc0000000018 \h</w:instrText>
          </w:r>
          <w:r>
            <w:rPr/>
            <w:fldChar w:fldCharType="separate"/>
          </w:r>
          <w:r>
            <w:rPr/>
            <w:t xml:space="preserve">11</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spacing/>
        <w:rPr/>
      </w:pPr>
      <w:r>
        <w:rPr/>
        <w:drawing>
          <wp:inline>
            <wp:extent cx="2540000" cy="25400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25400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 business has an emergency management and evacuation plan for guests with a disability</w:t>
      </w:r>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Guide Dog and Service Animals</w:t>
      </w:r>
      <w:bookmarkEnd w:id="9"/>
    </w:p>
    <w:p>
      <w:pPr>
        <w:spacing/>
        <w:rPr/>
      </w:pPr>
      <w:r>
        <w:rPr/>
        <w:t xml:space="preserve">The business provides the following services for services animals: </w:t>
      </w:r>
    </w:p>
    <w:p>
      <w:pPr>
        <w:pBdr/>
        <w:spacing/>
        <w:rPr/>
      </w:pPr>
      <w:r>
        <w:rPr/>
        <w:t xml:space="preserve">We can provide the water for service animal during the tour</w:t>
      </w:r>
    </w:p>
    <w:p>
      <w:pPr>
        <w:pStyle w:val="Heading1"/>
        <w:spacing/>
        <w:rPr/>
      </w:pPr>
      <w:bookmarkStart w:id="10" w:name="_Toc0000000006"/>
      <w:r>
        <w:rPr/>
        <w:t xml:space="preserve">GENERAL</w:t>
      </w:r>
      <w:bookmarkEnd w:id="10"/>
    </w:p>
    <w:p>
      <w:pPr>
        <w:spacing/>
        <w:rPr/>
      </w:pPr>
      <w:r>
        <w:rPr/>
        <w:t xml:space="preserve"> </w:t>
      </w:r>
    </w:p>
    <w:p>
      <w:pPr>
        <w:pStyle w:val="Heading2"/>
        <w:spacing/>
        <w:rPr/>
      </w:pPr>
      <w:bookmarkStart w:id="11" w:name="_Toc0000000007"/>
      <w:r>
        <w:rPr/>
        <w:t xml:space="preserve">Pre-arrival, arrival and reception</w:t>
      </w:r>
      <w:bookmarkEnd w:id="11"/>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tablet with text to voice or pen and paper at reception to aid in communication</w:t>
      </w:r>
    </w:p>
    <w:p>
      <w:pPr>
        <w:pStyle w:val="ListBullet"/>
        <w:numPr>
          <w:ilvl w:val="0"/>
          <w:numId w:val="35"/>
        </w:numPr>
        <w:spacing/>
        <w:rPr/>
      </w:pPr>
      <w:r>
        <w:rPr/>
        <w:t xml:space="preserve">Large print information sheets and registration forms</w:t>
      </w:r>
    </w:p>
    <w:p>
      <w:pPr>
        <w:spacing/>
        <w:rPr/>
      </w:pPr>
    </w:p>
    <w:p>
      <w:pPr>
        <w:pBdr/>
        <w:spacing/>
        <w:rPr/>
      </w:pPr>
      <w:r>
        <w:rPr/>
        <w:t xml:space="preserve">Our office reception area is fitted with standard white light bulb</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familiarisation tour</w:t>
      </w:r>
    </w:p>
    <w:p>
      <w:pPr>
        <w:pStyle w:val="ListBullet"/>
        <w:numPr>
          <w:ilvl w:val="0"/>
          <w:numId w:val="35"/>
        </w:numPr>
        <w:spacing/>
        <w:rPr/>
      </w:pPr>
      <w:r>
        <w:rPr/>
        <w:t xml:space="preserve">In addition, the following further information can assist guests:</w:t>
      </w:r>
    </w:p>
    <w:p>
      <w:pPr>
        <w:spacing/>
        <w:rPr/>
      </w:pPr>
      <w:r>
        <w:rPr/>
        <w:t xml:space="preserve">All meetings are highly encourage to be pre-booked</w:t>
      </w:r>
    </w:p>
    <w:p>
      <w:pPr>
        <w:spacing/>
        <w:rPr/>
      </w:pPr>
      <w:r>
        <w:rPr/>
        <w:t xml:space="preserve"> </w:t>
      </w:r>
    </w:p>
    <w:p>
      <w:pPr>
        <w:pStyle w:val="Heading2"/>
        <w:spacing/>
        <w:rPr/>
      </w:pPr>
      <w:bookmarkStart w:id="12" w:name="_Toc0000000008"/>
      <w:r>
        <w:rPr/>
        <w:t xml:space="preserve">Car Park and Access amenities</w:t>
      </w:r>
      <w:bookmarkEnd w:id="12"/>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Kerb ramps are in place where a pavement or walkway needs to be crossed</w:t>
      </w:r>
    </w:p>
    <w:p>
      <w:pPr>
        <w:pStyle w:val="ListBullet"/>
        <w:numPr>
          <w:ilvl w:val="0"/>
          <w:numId w:val="35"/>
        </w:numPr>
        <w:spacing/>
        <w:rPr/>
      </w:pPr>
      <w:r>
        <w:rPr/>
        <w:t xml:space="preserve">In addition, the following further information can assist guests:</w:t>
      </w:r>
    </w:p>
    <w:p>
      <w:pPr>
        <w:spacing/>
        <w:rPr/>
      </w:pPr>
      <w:r>
        <w:rPr/>
        <w:t xml:space="preserve">We are tour operator so all the pickup and drop off locations are based on customer request. Our drivers are ensure to pickup and drop off customers at the closest meeting place (if no accessible parking available)</w:t>
      </w:r>
    </w:p>
    <w:p>
      <w:pPr>
        <w:spacing/>
        <w:rPr/>
      </w:pPr>
      <w:r>
        <w:rPr/>
        <w:t xml:space="preserve"> </w:t>
      </w:r>
    </w:p>
    <w:p>
      <w:pPr>
        <w:pStyle w:val="Heading2"/>
        <w:spacing/>
        <w:rPr/>
      </w:pPr>
      <w:bookmarkStart w:id="13" w:name="_Toc0000000009"/>
      <w:r>
        <w:rPr/>
        <w:t xml:space="preserve">Entry</w:t>
      </w:r>
      <w:bookmarkEnd w:id="13"/>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Door jams/doors are of a contrasting colour to surrounding walls</w:t>
      </w:r>
    </w:p>
    <w:p>
      <w:pPr>
        <w:pStyle w:val="ListBullet"/>
        <w:numPr>
          <w:ilvl w:val="0"/>
          <w:numId w:val="35"/>
        </w:numPr>
        <w:spacing/>
        <w:rPr/>
      </w:pPr>
      <w:r>
        <w:rPr/>
        <w:t xml:space="preserve">Door handles are of a contrasting colour to the door</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entrance sill is less than 13mm</w:t>
      </w:r>
    </w:p>
    <w:p>
      <w:pPr>
        <w:pStyle w:val="ListBullet"/>
        <w:numPr>
          <w:ilvl w:val="0"/>
          <w:numId w:val="35"/>
        </w:numPr>
        <w:spacing/>
        <w:rPr/>
      </w:pPr>
      <w:r>
        <w:rPr/>
        <w:t xml:space="preserve">There a clear space of at least 1500mm x 1500mm in front of all doors.</w:t>
      </w:r>
    </w:p>
    <w:p>
      <w:pPr>
        <w:spacing/>
        <w:rPr/>
      </w:pPr>
      <w:r>
        <w:rPr/>
        <w:t xml:space="preserve"> </w:t>
      </w:r>
    </w:p>
    <w:p>
      <w:pPr>
        <w:pStyle w:val="Heading2"/>
        <w:spacing/>
        <w:rPr/>
      </w:pPr>
      <w:bookmarkStart w:id="14" w:name="_Toc0000000010"/>
      <w:r>
        <w:rPr/>
        <w:t xml:space="preserve">Internal Spaces</w:t>
      </w:r>
      <w:bookmarkEnd w:id="14"/>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Any protruding or overhanging obstructions are at least 2meters above the floor or are protected</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All corridors greater than 900mm</w:t>
      </w:r>
    </w:p>
    <w:p>
      <w:pPr>
        <w:spacing/>
        <w:rPr/>
      </w:pPr>
      <w:r>
        <w:rPr/>
        <w:t xml:space="preserve"> </w:t>
      </w:r>
    </w:p>
    <w:p>
      <w:pPr>
        <w:pStyle w:val="Heading2"/>
        <w:spacing/>
        <w:rPr/>
      </w:pPr>
      <w:bookmarkStart w:id="15" w:name="_Toc0000000011"/>
      <w:r>
        <w:rPr/>
        <w:t xml:space="preserve">Public areas</w:t>
      </w:r>
      <w:bookmarkEnd w:id="15"/>
    </w:p>
    <w:p>
      <w:pPr>
        <w:spacing/>
        <w:rPr/>
      </w:pPr>
      <w:r>
        <w:rPr/>
        <w:t xml:space="preserve">The public areas have the following amenities  in place</w:t>
      </w:r>
    </w:p>
    <w:p>
      <w:pPr>
        <w:pStyle w:val="ListBullet"/>
        <w:numPr>
          <w:ilvl w:val="0"/>
          <w:numId w:val="35"/>
        </w:numPr>
        <w:spacing/>
        <w:rPr/>
      </w:pPr>
      <w:r>
        <w:rPr/>
        <w:t xml:space="preserve">Seating</w:t>
      </w:r>
    </w:p>
    <w:p>
      <w:pPr>
        <w:spacing/>
        <w:rPr/>
      </w:pPr>
      <w:r>
        <w:rPr/>
        <w:t xml:space="preserve"> </w:t>
      </w:r>
    </w:p>
    <w:p>
      <w:pPr>
        <w:pStyle w:val="Heading2"/>
        <w:spacing/>
        <w:rPr/>
      </w:pPr>
      <w:bookmarkStart w:id="16" w:name="_Toc0000000012"/>
      <w:r>
        <w:rPr/>
        <w:t xml:space="preserve">External Paths</w:t>
      </w:r>
      <w:bookmarkEnd w:id="16"/>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pStyle w:val="Heading1"/>
        <w:spacing/>
        <w:rPr/>
      </w:pPr>
      <w:bookmarkStart w:id="17" w:name="_Toc0000000013"/>
      <w:r>
        <w:rPr/>
        <w:t xml:space="preserve">TOUR OPERATORS</w:t>
      </w:r>
      <w:bookmarkEnd w:id="17"/>
    </w:p>
    <w:p>
      <w:pPr>
        <w:spacing/>
        <w:rPr/>
      </w:pPr>
      <w:r>
        <w:rPr/>
        <w:t xml:space="preserve"> </w:t>
      </w:r>
    </w:p>
    <w:p>
      <w:pPr>
        <w:pStyle w:val="Heading2"/>
        <w:spacing/>
        <w:rPr/>
      </w:pPr>
      <w:bookmarkStart w:id="18" w:name="_Toc0000000014"/>
      <w:r>
        <w:rPr/>
        <w:t xml:space="preserve">Tour/Transport Services</w:t>
      </w:r>
      <w:bookmarkEnd w:id="18"/>
    </w:p>
    <w:p>
      <w:pPr>
        <w:spacing/>
        <w:rPr/>
      </w:pPr>
      <w:r>
        <w:rPr/>
        <w:t xml:space="preserve">The tour/transport services have the following facilities/amenities in place</w:t>
      </w:r>
    </w:p>
    <w:p>
      <w:pPr>
        <w:pStyle w:val="ListBullet"/>
        <w:numPr>
          <w:ilvl w:val="0"/>
          <w:numId w:val="35"/>
        </w:numPr>
        <w:spacing/>
        <w:rPr/>
      </w:pPr>
      <w:r>
        <w:rPr/>
        <w:t xml:space="preserve">Buses/Coaches</w:t>
      </w:r>
    </w:p>
    <w:p>
      <w:pPr>
        <w:pStyle w:val="ListBullet"/>
        <w:numPr>
          <w:ilvl w:val="0"/>
          <w:numId w:val="35"/>
        </w:numPr>
        <w:spacing/>
        <w:rPr/>
      </w:pPr>
      <w:r>
        <w:rPr/>
        <w:t xml:space="preserve">0 vehicles have wheelchair lifts or ramps</w:t>
      </w:r>
    </w:p>
    <w:p>
      <w:pPr>
        <w:pStyle w:val="ListBullet"/>
        <w:numPr>
          <w:ilvl w:val="0"/>
          <w:numId w:val="35"/>
        </w:numPr>
        <w:spacing/>
        <w:rPr/>
      </w:pPr>
      <w:r>
        <w:rPr/>
        <w:t xml:space="preserve">0 vehicles have low floors with ramped entry</w:t>
      </w:r>
    </w:p>
    <w:p>
      <w:pPr>
        <w:spacing/>
        <w:rPr/>
      </w:pPr>
      <w:r>
        <w:rPr/>
        <w:t xml:space="preserve">The maximum wheelchair capacity available in the fleet is: </w:t>
      </w:r>
    </w:p>
    <w:p>
      <w:pPr>
        <w:pBdr/>
        <w:spacing/>
        <w:rPr/>
      </w:pPr>
      <w:r>
        <w:rPr/>
        <w:t xml:space="preserve">0</w:t>
      </w:r>
    </w:p>
    <w:p>
      <w:pPr>
        <w:spacing/>
        <w:rPr/>
      </w:pPr>
      <w:r>
        <w:rPr/>
        <w:t xml:space="preserve"> </w:t>
      </w:r>
    </w:p>
    <w:p>
      <w:pPr>
        <w:pStyle w:val="Heading2"/>
        <w:spacing/>
        <w:rPr/>
      </w:pPr>
      <w:bookmarkStart w:id="19" w:name="_Toc0000000015"/>
      <w:r>
        <w:rPr/>
        <w:t xml:space="preserve">Route Planning</w:t>
      </w:r>
      <w:bookmarkEnd w:id="19"/>
    </w:p>
    <w:p>
      <w:pPr>
        <w:pStyle w:val="ListBullet"/>
        <w:numPr>
          <w:ilvl w:val="0"/>
          <w:numId w:val="35"/>
        </w:numPr>
        <w:spacing/>
        <w:rPr/>
      </w:pPr>
      <w:r>
        <w:rPr/>
        <w:t xml:space="preserve">Route Planning</w:t>
      </w:r>
    </w:p>
    <w:p>
      <w:pPr>
        <w:pStyle w:val="ListBullet"/>
        <w:numPr>
          <w:ilvl w:val="0"/>
          <w:numId w:val="35"/>
        </w:numPr>
        <w:spacing/>
        <w:rPr/>
      </w:pPr>
      <w:r>
        <w:rPr/>
        <w:t xml:space="preserve">The tour route includes stops with accessible toilet facilities</w:t>
      </w:r>
    </w:p>
    <w:p>
      <w:pPr>
        <w:pStyle w:val="ListBullet"/>
        <w:numPr>
          <w:ilvl w:val="0"/>
          <w:numId w:val="35"/>
        </w:numPr>
        <w:spacing/>
        <w:rPr/>
      </w:pPr>
      <w:r>
        <w:rPr/>
        <w:t xml:space="preserve">In addition, the following further information can assist guests:</w:t>
      </w:r>
    </w:p>
    <w:p>
      <w:pPr>
        <w:spacing/>
        <w:rPr/>
      </w:pPr>
      <w:r>
        <w:rPr/>
        <w:t xml:space="preserve">Our company does not have wheelchair accessible vehicle. However, we can rent the certified wheelchair accessible vehicle from registered business for transportation</w:t>
      </w:r>
    </w:p>
    <w:p>
      <w:pPr>
        <w:pStyle w:val="ListBullet"/>
        <w:numPr>
          <w:ilvl w:val="0"/>
          <w:numId w:val="35"/>
        </w:numPr>
        <w:spacing/>
        <w:rPr/>
      </w:pPr>
      <w:r>
        <w:rPr/>
        <w:t xml:space="preserve">Lunch stop venues are accessible</w:t>
      </w:r>
    </w:p>
    <w:p>
      <w:pPr>
        <w:pStyle w:val="ListBullet"/>
        <w:numPr>
          <w:ilvl w:val="0"/>
          <w:numId w:val="35"/>
        </w:numPr>
        <w:spacing/>
        <w:rPr/>
      </w:pPr>
      <w:r>
        <w:rPr/>
        <w:t xml:space="preserve">Sightseeing and photo opportunity stops are step free</w:t>
      </w:r>
    </w:p>
    <w:p>
      <w:pPr>
        <w:pStyle w:val="ListBullet"/>
        <w:numPr>
          <w:ilvl w:val="0"/>
          <w:numId w:val="35"/>
        </w:numPr>
        <w:spacing/>
        <w:rPr/>
      </w:pPr>
      <w:r>
        <w:rPr/>
        <w:t xml:space="preserve">Overnight Stops</w:t>
      </w:r>
    </w:p>
    <w:p>
      <w:pPr>
        <w:pStyle w:val="ListBullet"/>
        <w:numPr>
          <w:ilvl w:val="0"/>
          <w:numId w:val="35"/>
        </w:numPr>
        <w:spacing/>
        <w:rPr/>
      </w:pPr>
      <w:r>
        <w:rPr/>
        <w:t xml:space="preserve">For overnight stays, wheelchair accessible rooms are available</w:t>
      </w:r>
    </w:p>
    <w:p>
      <w:pPr>
        <w:pStyle w:val="ListBullet"/>
        <w:numPr>
          <w:ilvl w:val="0"/>
          <w:numId w:val="35"/>
        </w:numPr>
        <w:spacing/>
        <w:rPr/>
      </w:pPr>
      <w:r>
        <w:rPr/>
        <w:t xml:space="preserve">The accommodation provider used for overnight stops has been independently verified as accessible, please contact us for further information</w:t>
      </w:r>
    </w:p>
    <w:p>
      <w:pPr>
        <w:spacing/>
        <w:rPr/>
      </w:pPr>
      <w:r>
        <w:rPr/>
        <w:t xml:space="preserve">The total number of wheelchair passengers that can be catered for at overnight stops are: </w:t>
      </w:r>
    </w:p>
    <w:p>
      <w:pPr>
        <w:pBdr/>
        <w:spacing/>
        <w:rPr/>
      </w:pPr>
      <w:r>
        <w:rPr/>
        <w:t xml:space="preserve">1</w:t>
      </w:r>
    </w:p>
    <w:p>
      <w:pPr>
        <w:spacing/>
        <w:rPr/>
      </w:pPr>
      <w:r>
        <w:rPr/>
        <w:t xml:space="preserve"> </w:t>
      </w:r>
    </w:p>
    <w:p>
      <w:pPr>
        <w:pStyle w:val="Heading2"/>
        <w:spacing/>
        <w:rPr/>
      </w:pPr>
      <w:bookmarkStart w:id="20" w:name="_Toc0000000016"/>
      <w:r>
        <w:rPr/>
        <w:t xml:space="preserve">Guides</w:t>
      </w:r>
      <w:bookmarkEnd w:id="20"/>
    </w:p>
    <w:p>
      <w:pPr>
        <w:pStyle w:val="ListBullet"/>
        <w:numPr>
          <w:ilvl w:val="0"/>
          <w:numId w:val="35"/>
        </w:numPr>
        <w:spacing/>
        <w:rPr/>
      </w:pPr>
      <w:r>
        <w:rPr/>
        <w:t xml:space="preserve">Use of clear/simple English</w:t>
      </w:r>
    </w:p>
    <w:p>
      <w:pPr>
        <w:pStyle w:val="ListBullet"/>
        <w:numPr>
          <w:ilvl w:val="0"/>
          <w:numId w:val="35"/>
        </w:numPr>
        <w:spacing/>
        <w:rPr/>
      </w:pPr>
      <w:r>
        <w:rPr/>
        <w:t xml:space="preserve">Correct pronunciation for lip readers</w:t>
      </w:r>
    </w:p>
    <w:p>
      <w:pPr>
        <w:pStyle w:val="ListBullet"/>
        <w:numPr>
          <w:ilvl w:val="0"/>
          <w:numId w:val="35"/>
        </w:numPr>
        <w:spacing/>
        <w:rPr/>
      </w:pPr>
      <w:r>
        <w:rPr/>
        <w:t xml:space="preserve">In addition, the following further information can assist guests:</w:t>
      </w:r>
    </w:p>
    <w:p>
      <w:pPr>
        <w:spacing/>
        <w:rPr/>
      </w:pPr>
      <w:r>
        <w:rPr/>
        <w:t xml:space="preserve">Public sightseeing, shopping mall such as Westfield Carousel, DFO Perth, Hotels in Perth City area (with accessible room)</w:t>
      </w:r>
    </w:p>
    <w:p>
      <w:pPr>
        <w:pStyle w:val="Heading1"/>
        <w:spacing/>
        <w:rPr/>
      </w:pPr>
      <w:bookmarkStart w:id="21" w:name="_Toc0000000017"/>
      <w:r>
        <w:rPr/>
        <w:t xml:space="preserve">FOOD AND DRINK</w:t>
      </w:r>
      <w:bookmarkEnd w:id="21"/>
    </w:p>
    <w:p>
      <w:pPr>
        <w:pStyle w:val="ListBullet"/>
        <w:numPr>
          <w:ilvl w:val="0"/>
          <w:numId w:val="35"/>
        </w:numPr>
        <w:spacing/>
        <w:rPr/>
      </w:pPr>
      <w:r>
        <w:rPr/>
        <w:t xml:space="preserve">The smallest doorway is Not Applicable as we do not operate the dining spaces wide</w:t>
      </w:r>
    </w:p>
    <w:p>
      <w:pPr>
        <w:pStyle w:val="ListBullet"/>
        <w:numPr>
          <w:ilvl w:val="0"/>
          <w:numId w:val="35"/>
        </w:numPr>
        <w:spacing/>
        <w:rPr/>
      </w:pPr>
      <w:r>
        <w:rPr/>
        <w:t xml:space="preserve">In addition, the following further information can assist guests:</w:t>
      </w:r>
    </w:p>
    <w:p>
      <w:pPr>
        <w:spacing/>
        <w:rPr/>
      </w:pPr>
      <w:r>
        <w:rPr/>
        <w:t xml:space="preserve">We do not provide dinning or catering service. It will be managed by restaurants that customers want to dine in. However, we assist to connect and update with restaurants for the dietary requirement and food allergy if customers requested. All take away meal will be stored and delivered in separate containers toa void cross-contamination</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We do not provide dinning or catering service. It will be managed by restaurants that customers want to dine in. However, we assist to connect and update with restaurants for the dietary requirement and food allergy if customers requested</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2" w:name="_Toc0000000018"/>
      <w:r>
        <w:rPr/>
        <w:t xml:space="preserve">Report Disclaimer</w:t>
      </w:r>
      <w:bookmarkEnd w:id="22"/>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20DF5D53"/>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jpe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