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Tasman, A Luxury Collection Hotel, Hobart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Murray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Hobart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Frances Hutchinson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03 6240 6000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frances.hutchinson@luxurycollection.com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www.thetasmanhobart.com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2026-08-03 19:11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6129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6129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https://www.marriott.com/en-us/hotels/hbalc-the-tasman-a-luxury-collection-hotel-hobart/overview/</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Seated check-in and no wait timeLounge and seating in lobbyPorter assistance with luggage from vehicle to room</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Provided and tailored to specific guest travel plans upon request.</w:t>
      </w:r>
    </w:p>
    <w:p>
      <w:pPr>
        <w:pStyle w:val="ListBullet"/>
        <w:numPr>
          <w:ilvl w:val="0"/>
          <w:numId w:val="35"/>
        </w:numPr>
        <w:spacing/>
        <w:rPr/>
      </w:pPr>
      <w:r>
        <w:rPr/>
        <w:t xml:space="preserve">In addition, the following further information can assist guests:</w:t>
      </w:r>
    </w:p>
    <w:p>
      <w:pPr>
        <w:spacing/>
        <w:rPr/>
      </w:pPr>
      <w:r>
        <w:rPr/>
        <w:t xml:space="preserve">The Tasman offers valet parking from the hotel entrance</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Step-free routes are available at the main hotel entrance, to Peppina, and to Mary Mary via Peppina restaurant entrance.Mary Mary has an accessible stair lift fitted at the main entrance.</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'Changing Place' within Not specified of our business</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7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435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35100"/>
                    </a:xfrm>
                    <a:prstGeom prst="rect">
                      <a:avLst/>
                    </a:prstGeom>
                  </pic:spPr>
                </pic:pic>
              </a:graphicData>
            </a:graphic>
          </wp:inline>
        </w:drawing>
      </w:r>
    </w:p>
    <w:p>
      <w:pPr>
        <w:spacing/>
        <w:rPr/>
      </w:pPr>
      <w:r>
        <w:rPr/>
        <w:t xml:space="preserve">Image</w:t>
      </w:r>
    </w:p>
    <w:p>
      <w:pPr>
        <w:spacing/>
        <w:rPr/>
      </w:pPr>
      <w:r>
        <w:rPr/>
        <w:drawing>
          <wp:inline>
            <wp:extent cx="1435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435100" cy="2540000"/>
                    </a:xfrm>
                    <a:prstGeom prst="rect">
                      <a:avLst/>
                    </a:prstGeom>
                  </pic:spPr>
                </pic:pic>
              </a:graphicData>
            </a:graphic>
          </wp:inline>
        </w:drawing>
      </w:r>
    </w:p>
    <w:p>
      <w:pPr>
        <w:spacing/>
        <w:rPr/>
      </w:pPr>
      <w:r>
        <w:rPr/>
        <w:t xml:space="preserve">Image (1)</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LC_HBALC_Accessible_King_3522-2</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LC_HBALC_Accessible_King_3537-2</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LC_HBALC_Accessible_King_3513-2</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LC_HBALC_Accessible_King_3558-2</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LC_HBALC_Accessible_King_3552-2</w:t>
      </w:r>
    </w:p>
    <w:p>
      <w:pPr>
        <w:spacing/>
        <w:rPr/>
      </w:pPr>
      <w:r>
        <w:rPr/>
        <w:drawing>
          <wp:inline>
            <wp:extent cx="14351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435100" cy="2540000"/>
                    </a:xfrm>
                    <a:prstGeom prst="rect">
                      <a:avLst/>
                    </a:prstGeom>
                  </pic:spPr>
                </pic:pic>
              </a:graphicData>
            </a:graphic>
          </wp:inline>
        </w:drawing>
      </w:r>
    </w:p>
    <w:p>
      <w:pPr>
        <w:spacing/>
        <w:rPr/>
      </w:pPr>
      <w:r>
        <w:rPr/>
        <w:t xml:space="preserve">Image (4)</w:t>
      </w:r>
    </w:p>
    <w:p>
      <w:pPr>
        <w:spacing/>
        <w:rPr/>
      </w:pPr>
      <w:r>
        <w:rPr/>
        <w:drawing>
          <wp:inline>
            <wp:extent cx="14351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435100" cy="2540000"/>
                    </a:xfrm>
                    <a:prstGeom prst="rect">
                      <a:avLst/>
                    </a:prstGeom>
                  </pic:spPr>
                </pic:pic>
              </a:graphicData>
            </a:graphic>
          </wp:inline>
        </w:drawing>
      </w:r>
    </w:p>
    <w:p>
      <w:pPr>
        <w:spacing/>
        <w:rPr/>
      </w:pPr>
      <w:r>
        <w:rPr/>
        <w:t xml:space="preserve">Image (3)</w:t>
      </w:r>
    </w:p>
    <w:p>
      <w:pPr>
        <w:spacing/>
        <w:rPr/>
      </w:pPr>
      <w:r>
        <w:rPr/>
        <w:drawing>
          <wp:inline>
            <wp:extent cx="14351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435100" cy="2540000"/>
                    </a:xfrm>
                    <a:prstGeom prst="rect">
                      <a:avLst/>
                    </a:prstGeom>
                  </pic:spPr>
                </pic:pic>
              </a:graphicData>
            </a:graphic>
          </wp:inline>
        </w:drawing>
      </w:r>
    </w:p>
    <w:p>
      <w:pPr>
        <w:spacing/>
        <w:rPr/>
      </w:pPr>
      <w:r>
        <w:rPr/>
        <w:t xml:space="preserve">Image (2)</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Colour coded chopping boardsSegregation of preparation areas (eg seafood, meat)Different equipment for each itemSealed and separated storage including cool rooms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https://www.peppinarestaurant.com/our-menus</w:t>
      </w:r>
    </w:p>
    <w:p>
      <w:pPr>
        <w:pStyle w:val="Subtitle"/>
        <w:spacing/>
        <w:rPr/>
      </w:pPr>
      <w:r>
        <w:rPr/>
        <w:t xml:space="preserve">Food and Beverage Image(s)</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Image (6)</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LC_HBALC_Peppina_5020_lowres</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LC_HBALC_Peppina_5050_lowres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1476A8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6" Type="http://schemas.openxmlformats.org/officeDocument/2006/relationships/styles" Target="styles.xml" /><Relationship Id="rId17" Type="http://schemas.openxmlformats.org/officeDocument/2006/relationships/settings" Target="settings.xml" /><Relationship Id="rId18" Type="http://schemas.openxmlformats.org/officeDocument/2006/relationships/theme" Target="theme/theme1.xml" /><Relationship Id="rId19" Type="http://schemas.openxmlformats.org/officeDocument/2006/relationships/numbering" Target="numbering.xml" /><Relationship Id="rId1" Type="http://schemas.openxmlformats.org/officeDocument/2006/relationships/footer" Target="footer1.xml" /><Relationship Id="rId2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