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The Tasman, A Luxury Collection Hotel, Hobart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 Murray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Hobart</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Frances Hutchinson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03 6240 6000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frances.hutchinson@luxurycollection.com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www.thetasmanhobart.com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2026-11-05 15:20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Ramps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_Toc0000000020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_Toc0000000021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_Toc0000000022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_Toc0000000023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16129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16129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https://www.marriott.com/en-us/hotels/hbalc-the-tasman-a-luxury-collection-hotel-hobart/overview/</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Hearing loop fitted to the reception area</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Seated check-in and no wait time</w:t>
      </w:r>
    </w:p>
    <w:p>
      <w:pPr>
        <w:pBdr/>
        <w:spacing/>
        <w:rPr/>
      </w:pPr>
      <w:r>
        <w:rPr/>
        <w:t xml:space="preserve">Lounge and seating in lobby</w:t>
      </w:r>
    </w:p>
    <w:p>
      <w:pPr>
        <w:pBdr/>
        <w:spacing/>
        <w:rPr/>
      </w:pPr>
      <w:r>
        <w:rPr/>
        <w:t xml:space="preserve">Porter assistance with luggage from vehicle to room</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Provided and tailored to specific guest travel plans upon request.</w:t>
      </w:r>
    </w:p>
    <w:p>
      <w:pPr>
        <w:pStyle w:val="ListBullet"/>
        <w:numPr>
          <w:ilvl w:val="0"/>
          <w:numId w:val="35"/>
        </w:numPr>
        <w:spacing/>
        <w:rPr/>
      </w:pPr>
      <w:r>
        <w:rPr/>
        <w:t xml:space="preserve">In addition, the following further information can assist guests:</w:t>
      </w:r>
    </w:p>
    <w:p>
      <w:pPr>
        <w:spacing/>
        <w:rPr/>
      </w:pPr>
      <w:r>
        <w:rPr/>
        <w:t xml:space="preserve">The Tasman offers valet parking from the hotel entrance</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Menus are available in large print or Braille</w:t>
      </w:r>
    </w:p>
    <w:p>
      <w:pPr>
        <w:pStyle w:val="ListBullet"/>
        <w:numPr>
          <w:ilvl w:val="0"/>
          <w:numId w:val="35"/>
        </w:numPr>
        <w:spacing/>
        <w:rPr/>
      </w:pPr>
      <w:r>
        <w:rPr/>
        <w:t xml:space="preserve">Tableware/glassware contrast with the table surface or table cloth</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Step-free routes are available at the main hotel entrance, to Peppina, and to Mary Mary via Peppina restaurant entrance.</w:t>
      </w:r>
    </w:p>
    <w:p>
      <w:pPr>
        <w:pBdr/>
        <w:spacing/>
        <w:rPr/>
      </w:pPr>
      <w:r>
        <w:rPr/>
        <w:t xml:space="preserve">Mary Mary has an accessible stair lift fitted at the main entrance.</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19" w:name="_Toc0000000015"/>
      <w:r>
        <w:rPr/>
        <w:t xml:space="preserve">Public Toilets/Adult change facilities</w:t>
      </w:r>
      <w:bookmarkEnd w:id="19"/>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'Changing Place' within Not specified of our business</w:t>
      </w:r>
    </w:p>
    <w:p>
      <w:pPr>
        <w:pStyle w:val="Heading1"/>
        <w:spacing/>
        <w:rPr/>
      </w:pPr>
      <w:bookmarkStart w:id="20" w:name="_Toc0000000016"/>
      <w:r>
        <w:rPr/>
        <w:t xml:space="preserve">ACCOMMODATION</w:t>
      </w:r>
      <w:bookmarkEnd w:id="20"/>
    </w:p>
    <w:p>
      <w:pPr>
        <w:spacing/>
        <w:rPr/>
      </w:pPr>
      <w:r>
        <w:rPr/>
        <w:t xml:space="preserve"> </w:t>
      </w:r>
    </w:p>
    <w:p>
      <w:pPr>
        <w:pStyle w:val="Heading2"/>
        <w:spacing/>
        <w:rPr/>
      </w:pPr>
      <w:bookmarkStart w:id="21" w:name="_Toc0000000017"/>
      <w:r>
        <w:rPr/>
        <w:t xml:space="preserve">Bedrooms</w:t>
      </w:r>
      <w:bookmarkEnd w:id="21"/>
    </w:p>
    <w:p>
      <w:pPr>
        <w:spacing/>
        <w:rPr/>
      </w:pPr>
      <w:r>
        <w:rPr/>
        <w:t xml:space="preserve">The bedrooms  have the following facilities/amenities in place</w:t>
      </w:r>
    </w:p>
    <w:p>
      <w:pPr>
        <w:pStyle w:val="ListBullet"/>
        <w:numPr>
          <w:ilvl w:val="0"/>
          <w:numId w:val="35"/>
        </w:numPr>
        <w:spacing/>
        <w:rPr/>
      </w:pPr>
      <w:r>
        <w:rPr/>
        <w:t xml:space="preserve">There are 7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435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435100"/>
                    </a:xfrm>
                    <a:prstGeom prst="rect">
                      <a:avLst/>
                    </a:prstGeom>
                  </pic:spPr>
                </pic:pic>
              </a:graphicData>
            </a:graphic>
          </wp:inline>
        </w:drawing>
      </w:r>
    </w:p>
    <w:p>
      <w:pPr>
        <w:spacing/>
        <w:rPr/>
      </w:pPr>
      <w:r>
        <w:rPr/>
        <w:t xml:space="preserve">Image</w:t>
      </w:r>
    </w:p>
    <w:p>
      <w:pPr>
        <w:spacing/>
        <w:rPr/>
      </w:pPr>
      <w:r>
        <w:rPr/>
        <w:drawing>
          <wp:inline>
            <wp:extent cx="14351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435100" cy="2540000"/>
                    </a:xfrm>
                    <a:prstGeom prst="rect">
                      <a:avLst/>
                    </a:prstGeom>
                  </pic:spPr>
                </pic:pic>
              </a:graphicData>
            </a:graphic>
          </wp:inline>
        </w:drawing>
      </w:r>
    </w:p>
    <w:p>
      <w:pPr>
        <w:spacing/>
        <w:rPr/>
      </w:pPr>
      <w:r>
        <w:rPr/>
        <w:t xml:space="preserve">Image (1)</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LC_HBALC_Accessible_King_3522-2</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LC_HBALC_Accessible_King_3537-2</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LC_HBALC_Accessible_King_3513-2</w:t>
      </w:r>
    </w:p>
    <w:p>
      <w:pPr>
        <w:spacing/>
        <w:rPr/>
      </w:pPr>
      <w:r>
        <w:rPr/>
        <w:t xml:space="preserve"> </w:t>
      </w:r>
    </w:p>
    <w:p>
      <w:pPr>
        <w:pStyle w:val="Heading2"/>
        <w:spacing/>
        <w:rPr/>
      </w:pPr>
      <w:bookmarkStart w:id="22" w:name="_Toc0000000018"/>
      <w:r>
        <w:rPr/>
        <w:t xml:space="preserve">Room Amenities</w:t>
      </w:r>
      <w:bookmarkEnd w:id="22"/>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3" w:name="_Toc0000000019"/>
      <w:r>
        <w:rPr/>
        <w:t xml:space="preserve">Bathrooms</w:t>
      </w:r>
      <w:bookmarkEnd w:id="23"/>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LC_HBALC_Accessible_King_3558-2</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LC_HBALC_Accessible_King_3552-2</w:t>
      </w:r>
    </w:p>
    <w:p>
      <w:pPr>
        <w:spacing/>
        <w:rPr/>
      </w:pPr>
      <w:r>
        <w:rPr/>
        <w:drawing>
          <wp:inline>
            <wp:extent cx="14351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435100" cy="2540000"/>
                    </a:xfrm>
                    <a:prstGeom prst="rect">
                      <a:avLst/>
                    </a:prstGeom>
                  </pic:spPr>
                </pic:pic>
              </a:graphicData>
            </a:graphic>
          </wp:inline>
        </w:drawing>
      </w:r>
    </w:p>
    <w:p>
      <w:pPr>
        <w:spacing/>
        <w:rPr/>
      </w:pPr>
      <w:r>
        <w:rPr/>
        <w:t xml:space="preserve">Image (4)</w:t>
      </w:r>
    </w:p>
    <w:p>
      <w:pPr>
        <w:spacing/>
        <w:rPr/>
      </w:pPr>
      <w:r>
        <w:rPr/>
        <w:drawing>
          <wp:inline>
            <wp:extent cx="14351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435100" cy="2540000"/>
                    </a:xfrm>
                    <a:prstGeom prst="rect">
                      <a:avLst/>
                    </a:prstGeom>
                  </pic:spPr>
                </pic:pic>
              </a:graphicData>
            </a:graphic>
          </wp:inline>
        </w:drawing>
      </w:r>
    </w:p>
    <w:p>
      <w:pPr>
        <w:spacing/>
        <w:rPr/>
      </w:pPr>
      <w:r>
        <w:rPr/>
        <w:t xml:space="preserve">Image (3)</w:t>
      </w:r>
    </w:p>
    <w:p>
      <w:pPr>
        <w:spacing/>
        <w:rPr/>
      </w:pPr>
      <w:r>
        <w:rPr/>
        <w:drawing>
          <wp:inline>
            <wp:extent cx="14351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435100" cy="2540000"/>
                    </a:xfrm>
                    <a:prstGeom prst="rect">
                      <a:avLst/>
                    </a:prstGeom>
                  </pic:spPr>
                </pic:pic>
              </a:graphicData>
            </a:graphic>
          </wp:inline>
        </w:drawing>
      </w:r>
    </w:p>
    <w:p>
      <w:pPr>
        <w:spacing/>
        <w:rPr/>
      </w:pPr>
      <w:r>
        <w:rPr/>
        <w:t xml:space="preserve">Image (2)</w:t>
      </w:r>
    </w:p>
    <w:p>
      <w:pPr>
        <w:pStyle w:val="Heading1"/>
        <w:spacing/>
        <w:rPr/>
      </w:pPr>
      <w:bookmarkStart w:id="24" w:name="_Toc0000000020"/>
      <w:r>
        <w:rPr/>
        <w:t xml:space="preserve">COMMON AREAS</w:t>
      </w:r>
      <w:bookmarkEnd w:id="24"/>
    </w:p>
    <w:p>
      <w:pPr>
        <w:pStyle w:val="Heading1"/>
        <w:spacing/>
        <w:rPr/>
      </w:pPr>
      <w:bookmarkStart w:id="25" w:name="_Toc0000000021"/>
      <w:r>
        <w:rPr/>
        <w:t xml:space="preserve">FOOD AND DRINK</w:t>
      </w:r>
      <w:bookmarkEnd w:id="25"/>
    </w:p>
    <w:p>
      <w:pPr>
        <w:spacing/>
        <w:rPr/>
      </w:pPr>
      <w:r>
        <w:rPr/>
        <w:t xml:space="preserve"> </w:t>
      </w:r>
    </w:p>
    <w:p>
      <w:pPr>
        <w:pStyle w:val="Heading2"/>
        <w:spacing/>
        <w:rPr/>
      </w:pPr>
      <w:bookmarkStart w:id="26" w:name="_Toc0000000022"/>
      <w:r>
        <w:rPr/>
        <w:t xml:space="preserve">Dining Spaces</w:t>
      </w:r>
      <w:bookmarkEnd w:id="26"/>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Colour coded chopping boards</w:t>
      </w:r>
    </w:p>
    <w:p>
      <w:pPr>
        <w:pBdr/>
        <w:spacing/>
        <w:rPr/>
      </w:pPr>
      <w:r>
        <w:rPr/>
        <w:t xml:space="preserve">Segregation of preparation areas (eg seafood, meat)</w:t>
      </w:r>
    </w:p>
    <w:p>
      <w:pPr>
        <w:pBdr/>
        <w:spacing/>
        <w:rPr/>
      </w:pPr>
      <w:r>
        <w:rPr/>
        <w:t xml:space="preserve">Different equipment for each item</w:t>
      </w:r>
    </w:p>
    <w:p>
      <w:pPr>
        <w:pBdr/>
        <w:spacing/>
        <w:rPr/>
      </w:pPr>
      <w:r>
        <w:rPr/>
        <w:t xml:space="preserve">Sealed and separated storage including cool rooms</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https://www.peppinarestaurant.com/our-menus</w:t>
      </w:r>
    </w:p>
    <w:p>
      <w:pPr>
        <w:pStyle w:val="Subtitle"/>
        <w:spacing/>
        <w:rPr/>
      </w:pPr>
      <w:r>
        <w:rPr/>
        <w:t xml:space="preserve">Food and Beverage Image(s)</w:t>
      </w:r>
    </w:p>
    <w:p>
      <w:pPr>
        <w:spacing/>
        <w:rPr/>
      </w:pPr>
      <w:r>
        <w:rPr/>
        <w:drawing>
          <wp:inline>
            <wp:extent cx="2540000" cy="1905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Image (6)</w:t>
      </w:r>
    </w:p>
    <w:p>
      <w:pPr>
        <w:spacing/>
        <w:rPr/>
      </w:pPr>
      <w:r>
        <w:rPr/>
        <w:drawing>
          <wp:inline>
            <wp:extent cx="2540000" cy="1905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905000"/>
                    </a:xfrm>
                    <a:prstGeom prst="rect">
                      <a:avLst/>
                    </a:prstGeom>
                  </pic:spPr>
                </pic:pic>
              </a:graphicData>
            </a:graphic>
          </wp:inline>
        </w:drawing>
      </w:r>
    </w:p>
    <w:p>
      <w:pPr>
        <w:spacing/>
        <w:rPr/>
      </w:pPr>
      <w:r>
        <w:rPr/>
        <w:t xml:space="preserve">LC_HBALC_Peppina_5020_lowres</w:t>
      </w:r>
    </w:p>
    <w:p>
      <w:pPr>
        <w:spacing/>
        <w:rPr/>
      </w:pPr>
      <w:r>
        <w:rPr/>
        <w:drawing>
          <wp:inline>
            <wp:extent cx="1905000" cy="2540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19050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LC_HBALC_Peppina_5050_lowres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7" w:name="_Toc0000000023"/>
      <w:r>
        <w:rPr/>
        <w:t xml:space="preserve">Report Disclaimer</w:t>
      </w:r>
      <w:bookmarkEnd w:id="2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1E6C7A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6" Type="http://schemas.openxmlformats.org/officeDocument/2006/relationships/styles" Target="styles.xml" /><Relationship Id="rId17" Type="http://schemas.openxmlformats.org/officeDocument/2006/relationships/settings" Target="settings.xml" /><Relationship Id="rId18" Type="http://schemas.openxmlformats.org/officeDocument/2006/relationships/theme" Target="theme/theme1.xml" /><Relationship Id="rId19" Type="http://schemas.openxmlformats.org/officeDocument/2006/relationships/numbering" Target="numbering.xml" /><Relationship Id="rId1" Type="http://schemas.openxmlformats.org/officeDocument/2006/relationships/footer" Target="footer1.xml" /><Relationship Id="rId20"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21" Type="http://schemas.openxmlformats.org/officeDocument/2006/relationships/customXml" Target="../customXml/item1.xml" /><Relationship Id="rId22" Type="http://schemas.openxmlformats.org/officeDocument/2006/relationships/customXml" Target="../customXml/item2.xml" /><Relationship Id="rId23" Type="http://schemas.openxmlformats.org/officeDocument/2006/relationships/customXml" Target="../customXml/item3.xml" /><Relationship Id="rId2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