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Edge Luxury Villas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503 Puzey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Wilyabrup</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Clare Kissell</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0408 386 707</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stay@edgeluxuryvillas.com.au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https://www.edgeluxuryvillas.com.au/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2026-07-03 10:10</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GENERAL</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_Toc0000000008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Ramps</w:t>
          </w:r>
          <w:r>
            <w:rPr/>
            <w:tab/>
            <w:t xml:space="preserve"/>
          </w:r>
          <w:r>
            <w:rPr/>
            <w:fldChar w:fldCharType="begin"/>
          </w:r>
          <w:r>
            <w:rPr/>
            <w:instrText xml:space="preserve">PAGEREF _Toc0000000009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_Toc0000000014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_Toc0000000015 \h</w:instrText>
          </w:r>
          <w:r>
            <w:rPr/>
            <w:fldChar w:fldCharType="separate"/>
          </w:r>
          <w:r>
            <w:rPr/>
            <w:t xml:space="preserve">13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It's the only doorway in and out and therefore it can never be blocked or obstructed.</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spacing/>
        <w:rPr/>
      </w:pPr>
      <w:r>
        <w:rPr/>
        <w:t xml:space="preserve">The business identifies guests who need additional assistance should an emergency occur by: </w:t>
      </w:r>
    </w:p>
    <w:p>
      <w:pPr>
        <w:pBdr/>
        <w:spacing/>
        <w:rPr/>
      </w:pPr>
      <w:r>
        <w:rPr/>
        <w:t xml:space="preserve">Pre-arrival information asks if the reservation has any accessibility requirements.</w:t>
      </w:r>
    </w:p>
    <w:p>
      <w:pPr>
        <w:spacing/>
        <w:rPr/>
      </w:pPr>
      <w:r>
        <w:rPr/>
        <w:t xml:space="preserve">The procedure for assisting guests who need assisted rescue is: </w:t>
      </w:r>
    </w:p>
    <w:p>
      <w:pPr>
        <w:pBdr/>
        <w:spacing/>
        <w:rPr/>
      </w:pPr>
      <w:r>
        <w:rPr/>
        <w:t xml:space="preserve">Staff or accompanying guest to assist if required in the event of an emergency.</w:t>
      </w:r>
    </w:p>
    <w:p>
      <w:pPr>
        <w:spacing/>
        <w:rPr/>
      </w:pPr>
      <w:r>
        <w:rPr/>
        <w:t xml:space="preserve">The business provides the following services for services animals: </w:t>
      </w:r>
    </w:p>
    <w:p>
      <w:pPr>
        <w:pBdr/>
        <w:spacing/>
        <w:rPr/>
      </w:pPr>
      <w:r>
        <w:rPr/>
        <w:t xml:space="preserve">Legally documented service animals are allowed on site. We are a pet free site so unfortunately no additional services are available for service animals.</w:t>
      </w:r>
    </w:p>
    <w:p>
      <w:pPr>
        <w:pStyle w:val="Heading1"/>
        <w:spacing/>
        <w:rPr/>
      </w:pPr>
      <w:bookmarkStart w:id="9" w:name="_Toc0000000005"/>
      <w:r>
        <w:rPr/>
        <w:t xml:space="preserve">GENERAL</w:t>
      </w:r>
      <w:bookmarkEnd w:id="9"/>
    </w:p>
    <w:p>
      <w:pPr>
        <w:spacing/>
        <w:rPr/>
      </w:pPr>
      <w:r>
        <w:rPr/>
        <w:t xml:space="preserve"> </w:t>
      </w:r>
    </w:p>
    <w:p>
      <w:pPr>
        <w:pStyle w:val="Heading2"/>
        <w:spacing/>
        <w:rPr/>
      </w:pPr>
      <w:bookmarkStart w:id="10" w:name="_Toc0000000006"/>
      <w:r>
        <w:rPr/>
        <w:t xml:space="preserve">Pre-arrival, arrival and reception</w:t>
      </w:r>
      <w:bookmarkEnd w:id="10"/>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In addition, the following further information can assist guests:</w:t>
      </w:r>
    </w:p>
    <w:p>
      <w:pPr>
        <w:spacing/>
        <w:rPr/>
      </w:pPr>
      <w:r>
        <w:rPr/>
        <w:t xml:space="preserve">Self check in</w:t>
      </w:r>
    </w:p>
    <w:p>
      <w:pPr>
        <w:spacing/>
        <w:rPr/>
      </w:pPr>
      <w:r>
        <w:rPr/>
        <w:t xml:space="preserve"> </w:t>
      </w:r>
    </w:p>
    <w:p>
      <w:pPr>
        <w:pStyle w:val="Heading2"/>
        <w:spacing/>
        <w:rPr/>
      </w:pPr>
      <w:bookmarkStart w:id="11" w:name="_Toc0000000007"/>
      <w:r>
        <w:rPr/>
        <w:t xml:space="preserve">Car Park and Access amenities</w:t>
      </w:r>
      <w:bookmarkEnd w:id="11"/>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spacing/>
        <w:rPr/>
      </w:pPr>
      <w:r>
        <w:rPr/>
        <w:t xml:space="preserve"> </w:t>
      </w:r>
    </w:p>
    <w:p>
      <w:pPr>
        <w:pStyle w:val="Heading2"/>
        <w:spacing/>
        <w:rPr/>
      </w:pPr>
      <w:bookmarkStart w:id="12" w:name="_Toc0000000008"/>
      <w:r>
        <w:rPr/>
        <w:t xml:space="preserve">External Paths</w:t>
      </w:r>
      <w:bookmarkEnd w:id="12"/>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No steps are present on any paths</w:t>
      </w:r>
    </w:p>
    <w:p>
      <w:pPr>
        <w:pStyle w:val="ListBullet"/>
        <w:numPr>
          <w:ilvl w:val="0"/>
          <w:numId w:val="35"/>
        </w:numPr>
        <w:spacing/>
        <w:rPr/>
      </w:pPr>
      <w:r>
        <w:rPr/>
        <w:t xml:space="preserve">In addition, the following further information can assist guests:</w:t>
      </w:r>
    </w:p>
    <w:p>
      <w:pPr>
        <w:spacing/>
        <w:rPr/>
      </w:pPr>
      <w:r>
        <w:rPr/>
        <w:t xml:space="preserve">Our accessible villa is single level. Villas 2-4 have a raised section with 3 steps. These villas are not suitable accessible bookings</w:t>
      </w:r>
    </w:p>
    <w:p>
      <w:pPr>
        <w:spacing/>
        <w:rPr/>
      </w:pPr>
      <w:r>
        <w:rPr/>
        <w:t xml:space="preserve"> </w:t>
      </w:r>
    </w:p>
    <w:p>
      <w:pPr>
        <w:pStyle w:val="Heading2"/>
        <w:spacing/>
        <w:rPr/>
      </w:pPr>
      <w:bookmarkStart w:id="13" w:name="_Toc0000000009"/>
      <w:r>
        <w:rPr/>
        <w:t xml:space="preserve">Ramps</w:t>
      </w:r>
      <w:bookmarkEnd w:id="13"/>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Temporary ramps are available</w:t>
      </w:r>
    </w:p>
    <w:p>
      <w:pPr>
        <w:pStyle w:val="ListBullet"/>
        <w:numPr>
          <w:ilvl w:val="0"/>
          <w:numId w:val="35"/>
        </w:numPr>
        <w:spacing/>
        <w:rPr/>
      </w:pPr>
      <w:r>
        <w:rPr/>
        <w:t xml:space="preserve">Temporary ramps are in place for the duration of the guests stay</w:t>
      </w:r>
    </w:p>
    <w:p>
      <w:pPr>
        <w:pStyle w:val="ListBullet"/>
        <w:numPr>
          <w:ilvl w:val="0"/>
          <w:numId w:val="35"/>
        </w:numPr>
        <w:spacing/>
        <w:rPr/>
      </w:pPr>
      <w:r>
        <w:rPr/>
        <w:t xml:space="preserve">In addition, the following further information can assist guests:</w:t>
      </w:r>
    </w:p>
    <w:p>
      <w:pPr>
        <w:spacing/>
        <w:rPr/>
      </w:pPr>
      <w:r>
        <w:rPr/>
        <w:t xml:space="preserve">A threshold ramp will be in place for any accessible booking that requires it.</w:t>
      </w:r>
    </w:p>
    <w:p>
      <w:pPr>
        <w:pStyle w:val="Heading1"/>
        <w:spacing/>
        <w:rPr/>
      </w:pPr>
      <w:bookmarkStart w:id="14" w:name="_Toc0000000010"/>
      <w:r>
        <w:rPr/>
        <w:t xml:space="preserve">ACCOMMODATION</w:t>
      </w:r>
      <w:bookmarkEnd w:id="14"/>
    </w:p>
    <w:p>
      <w:pPr>
        <w:spacing/>
        <w:rPr/>
      </w:pPr>
      <w:r>
        <w:rPr/>
        <w:t xml:space="preserve"> </w:t>
      </w:r>
    </w:p>
    <w:p>
      <w:pPr>
        <w:pStyle w:val="Heading2"/>
        <w:spacing/>
        <w:rPr/>
      </w:pPr>
      <w:bookmarkStart w:id="15" w:name="_Toc0000000011"/>
      <w:r>
        <w:rPr/>
        <w:t xml:space="preserve">Bedrooms</w:t>
      </w:r>
      <w:bookmarkEnd w:id="15"/>
    </w:p>
    <w:p>
      <w:pPr>
        <w:spacing/>
        <w:rPr/>
      </w:pPr>
      <w:r>
        <w:rPr/>
        <w:t xml:space="preserve">The bedrooms  have the following facilities/amenities in place</w:t>
      </w:r>
    </w:p>
    <w:p>
      <w:pPr>
        <w:pStyle w:val="ListBullet"/>
        <w:numPr>
          <w:ilvl w:val="0"/>
          <w:numId w:val="35"/>
        </w:numPr>
        <w:spacing/>
        <w:rPr/>
      </w:pPr>
      <w:r>
        <w:rPr/>
        <w:t xml:space="preserve">There are 1 rooms available to guests who use a wheelchair</w:t>
      </w:r>
    </w:p>
    <w:p>
      <w:pPr>
        <w:pStyle w:val="Subtitle"/>
        <w:spacing/>
        <w:rPr/>
      </w:pPr>
      <w:r>
        <w:rPr/>
        <w:t xml:space="preserve">Layout of room Image(s)</w:t>
      </w:r>
    </w:p>
    <w:p>
      <w:pPr>
        <w:spacing/>
        <w:rPr/>
      </w:pPr>
      <w:r>
        <w:rPr/>
        <w:drawing>
          <wp:inline>
            <wp:extent cx="1803400" cy="254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1803400" cy="2540000"/>
                    </a:xfrm>
                    <a:prstGeom prst="rect">
                      <a:avLst/>
                    </a:prstGeom>
                  </pic:spPr>
                </pic:pic>
              </a:graphicData>
            </a:graphic>
          </wp:inline>
        </w:drawing>
      </w:r>
    </w:p>
    <w:p>
      <w:pPr>
        <w:spacing/>
        <w:rPr/>
      </w:pPr>
      <w:r>
        <w:rPr/>
        <w:t xml:space="preserve">accessible </w:t>
      </w:r>
    </w:p>
    <w:p>
      <w:pPr>
        <w:spacing/>
        <w:rPr/>
      </w:pPr>
      <w:r>
        <w:rPr/>
        <w:t xml:space="preserve"> </w:t>
      </w:r>
    </w:p>
    <w:p>
      <w:pPr>
        <w:pStyle w:val="Heading2"/>
        <w:spacing/>
        <w:rPr/>
      </w:pPr>
      <w:bookmarkStart w:id="16" w:name="_Toc0000000012"/>
      <w:r>
        <w:rPr/>
        <w:t xml:space="preserve">Room Amenities</w:t>
      </w:r>
      <w:bookmarkEnd w:id="16"/>
    </w:p>
    <w:p>
      <w:pPr>
        <w:pStyle w:val="ListBullet"/>
        <w:numPr>
          <w:ilvl w:val="0"/>
          <w:numId w:val="35"/>
        </w:numPr>
        <w:spacing/>
        <w:rPr/>
      </w:pPr>
      <w:r>
        <w:rPr/>
        <w:t xml:space="preserve">Visual alarm is fitted to the room</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17" w:name="_Toc0000000013"/>
      <w:r>
        <w:rPr/>
        <w:t xml:space="preserve">Bathrooms</w:t>
      </w:r>
      <w:bookmarkEnd w:id="17"/>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Subtitle"/>
        <w:spacing/>
        <w:rPr/>
      </w:pPr>
      <w:r>
        <w:rPr/>
        <w:t xml:space="preserve">Bathroom Image(s)</w:t>
      </w:r>
    </w:p>
    <w:p>
      <w:pPr>
        <w:spacing/>
        <w:rPr/>
      </w:pPr>
      <w:r>
        <w:rPr/>
        <w:drawing>
          <wp:inline>
            <wp:extent cx="17018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701800" cy="2540000"/>
                    </a:xfrm>
                    <a:prstGeom prst="rect">
                      <a:avLst/>
                    </a:prstGeom>
                  </pic:spPr>
                </pic:pic>
              </a:graphicData>
            </a:graphic>
          </wp:inline>
        </w:drawing>
      </w:r>
    </w:p>
    <w:p>
      <w:pPr>
        <w:spacing/>
        <w:rPr/>
      </w:pPr>
      <w:r>
        <w:rPr/>
        <w:t xml:space="preserve">LaurenTrickettPhoto-1292</w:t>
      </w:r>
    </w:p>
    <w:p>
      <w:pPr>
        <w:spacing/>
        <w:rPr/>
      </w:pPr>
      <w:r>
        <w:rPr/>
        <w:drawing>
          <wp:inline>
            <wp:extent cx="17018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701800" cy="2540000"/>
                    </a:xfrm>
                    <a:prstGeom prst="rect">
                      <a:avLst/>
                    </a:prstGeom>
                  </pic:spPr>
                </pic:pic>
              </a:graphicData>
            </a:graphic>
          </wp:inline>
        </w:drawing>
      </w:r>
    </w:p>
    <w:p>
      <w:pPr>
        <w:spacing/>
        <w:rPr/>
      </w:pPr>
      <w:r>
        <w:rPr/>
        <w:t xml:space="preserve">LaurenTrickettPhoto-1289</w:t>
      </w:r>
    </w:p>
    <w:p>
      <w:pPr>
        <w:spacing/>
        <w:rPr/>
      </w:pPr>
      <w:r>
        <w:rPr/>
        <w:drawing>
          <wp:inline>
            <wp:extent cx="2540000" cy="17018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701800"/>
                    </a:xfrm>
                    <a:prstGeom prst="rect">
                      <a:avLst/>
                    </a:prstGeom>
                  </pic:spPr>
                </pic:pic>
              </a:graphicData>
            </a:graphic>
          </wp:inline>
        </w:drawing>
      </w:r>
    </w:p>
    <w:p>
      <w:pPr>
        <w:spacing/>
        <w:rPr/>
      </w:pPr>
      <w:r>
        <w:rPr/>
        <w:t xml:space="preserve">LaurenTrickettPhoto-1394</w:t>
      </w:r>
    </w:p>
    <w:p>
      <w:pPr>
        <w:spacing/>
        <w:rPr/>
      </w:pPr>
      <w:r>
        <w:rPr/>
        <w:drawing>
          <wp:inline>
            <wp:extent cx="1701800" cy="2540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1701800" cy="2540000"/>
                    </a:xfrm>
                    <a:prstGeom prst="rect">
                      <a:avLst/>
                    </a:prstGeom>
                  </pic:spPr>
                </pic:pic>
              </a:graphicData>
            </a:graphic>
          </wp:inline>
        </w:drawing>
      </w:r>
    </w:p>
    <w:p>
      <w:pPr>
        <w:spacing/>
        <w:rPr/>
      </w:pPr>
      <w:r>
        <w:rPr/>
        <w:t xml:space="preserve">LaurenTrickettPhoto-1406</w:t>
      </w:r>
    </w:p>
    <w:p>
      <w:pPr>
        <w:spacing/>
        <w:rPr/>
      </w:pPr>
      <w:r>
        <w:rPr/>
        <w:drawing>
          <wp:inline>
            <wp:extent cx="2540000" cy="17018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701800"/>
                    </a:xfrm>
                    <a:prstGeom prst="rect">
                      <a:avLst/>
                    </a:prstGeom>
                  </pic:spPr>
                </pic:pic>
              </a:graphicData>
            </a:graphic>
          </wp:inline>
        </w:drawing>
      </w:r>
    </w:p>
    <w:p>
      <w:pPr>
        <w:spacing/>
        <w:rPr/>
      </w:pPr>
      <w:r>
        <w:rPr/>
        <w:t xml:space="preserve">LaurenTrickettPhoto-1412</w:t>
      </w:r>
    </w:p>
    <w:p>
      <w:pPr>
        <w:spacing/>
        <w:rPr/>
      </w:pPr>
      <w:r>
        <w:rPr/>
        <w:drawing>
          <wp:inline>
            <wp:extent cx="2540000" cy="17018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701800"/>
                    </a:xfrm>
                    <a:prstGeom prst="rect">
                      <a:avLst/>
                    </a:prstGeom>
                  </pic:spPr>
                </pic:pic>
              </a:graphicData>
            </a:graphic>
          </wp:inline>
        </w:drawing>
      </w:r>
    </w:p>
    <w:p>
      <w:pPr>
        <w:spacing/>
        <w:rPr/>
      </w:pPr>
      <w:r>
        <w:rPr/>
        <w:t xml:space="preserve">LaurenTrickettPhoto-1423 (1)</w:t>
      </w:r>
    </w:p>
    <w:p>
      <w:pPr>
        <w:spacing/>
        <w:rPr/>
      </w:pPr>
      <w:r>
        <w:rPr/>
        <w:drawing>
          <wp:inline>
            <wp:extent cx="1701800" cy="2540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1701800" cy="2540000"/>
                    </a:xfrm>
                    <a:prstGeom prst="rect">
                      <a:avLst/>
                    </a:prstGeom>
                  </pic:spPr>
                </pic:pic>
              </a:graphicData>
            </a:graphic>
          </wp:inline>
        </w:drawing>
      </w:r>
    </w:p>
    <w:p>
      <w:pPr>
        <w:spacing/>
        <w:rPr/>
      </w:pPr>
      <w:r>
        <w:rPr/>
        <w:t xml:space="preserve">LaurenTrickettPhoto-1296</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18" w:name="_Toc0000000014"/>
      <w:r>
        <w:rPr/>
        <w:t xml:space="preserve">COMMON AREAS</w:t>
      </w:r>
      <w:bookmarkEnd w:id="18"/>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9" w:name="_Toc0000000015"/>
      <w:r>
        <w:rPr/>
        <w:t xml:space="preserve">Report Disclaimer</w:t>
      </w:r>
      <w:bookmarkEnd w:id="19"/>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8FC533C"/>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0" Type="http://schemas.openxmlformats.org/officeDocument/2006/relationships/styles" Target="styles.xml" /><Relationship Id="rId11" Type="http://schemas.openxmlformats.org/officeDocument/2006/relationships/settings" Target="settings.xml" /><Relationship Id="rId12" Type="http://schemas.openxmlformats.org/officeDocument/2006/relationships/theme" Target="theme/theme1.xml" /><Relationship Id="rId13" Type="http://schemas.openxmlformats.org/officeDocument/2006/relationships/numbering" Target="numbering.xml" /><Relationship Id="rId1" Type="http://schemas.openxmlformats.org/officeDocument/2006/relationships/footer" Target="footer1.xml" /><Relationship Id="rId14"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