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Mystery Craters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Lines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South Kolan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agnele finette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0741577291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agnele@naturenurturecentre.com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www.mysterycraters.com.au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17:45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70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70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Mystery Craters has an emergency assembly and evacuation plan, but it does not yet contain specific procedures for guests with disability—such as individual assistance, mobility needs, hearing or vision impairment, or allocating a staff member to assist.</w:t>
      </w:r>
    </w:p>
    <w:p>
      <w:pPr>
        <w:pStyle w:val="ListBullet"/>
        <w:numPr>
          <w:ilvl w:val="0"/>
          <w:numId w:val="35"/>
        </w:numPr>
        <w:spacing/>
        <w:rPr/>
      </w:pPr>
      <w:r>
        <w:rPr/>
        <w:t xml:space="preserve">In addition, the following further information can assist guests:</w:t>
      </w:r>
    </w:p>
    <w:p>
      <w:pPr>
        <w:spacing/>
        <w:rPr/>
      </w:pPr>
      <w:r>
        <w:rPr/>
        <w:t xml:space="preserve">Guests requiring assistance are supported by a designated staff member via the safest accessible exit to the assembly area. If evacuation is unsafe, staff call 000 and remain with the guest until emergency services arrive.</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Assistance animals are welcome. Water bowls, shaded areas and spacious outdoor grounds are available. Animals must remain under the handler’s control.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none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spacing/>
        <w:rPr/>
      </w:pPr>
      <w:r>
        <w:rPr/>
        <w:t xml:space="preserve">The width of the smallest corridor is: </w:t>
      </w:r>
    </w:p>
    <w:p>
      <w:pPr>
        <w:pBdr/>
        <w:spacing/>
        <w:rPr/>
      </w:pPr>
      <w:r>
        <w:rPr/>
        <w:t xml:space="preserve">800</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Separate utensils and preparation areas are used where possible. Staff wash hands, clean and sanitise surfaces, check ingredients and store food securely to reduce cross-contamination risks.</w:t>
      </w:r>
    </w:p>
    <w:p>
      <w:pPr>
        <w:pBdr/>
        <w:spacing/>
        <w:rPr/>
      </w:pPr>
    </w:p>
    <w:p>
      <w:pPr>
        <w:pBdr/>
        <w:spacing/>
        <w:rPr/>
      </w:pPr>
    </w:p>
    <w:p>
      <w:pPr>
        <w:pBdr/>
        <w:spacing/>
        <w:rPr/>
      </w:pPr>
    </w:p>
    <w:p>
      <w:pPr>
        <w:pStyle w:val="Heading1"/>
        <w:spacing/>
        <w:rPr/>
      </w:pPr>
      <w:bookmarkStart w:id="25" w:name="_Toc0000000021"/>
      <w:r>
        <w:rPr/>
        <w:t xml:space="preserve">EVENTS</w:t>
      </w:r>
      <w:bookmarkEnd w:id="25"/>
    </w:p>
    <w:p>
      <w:pPr>
        <w:spacing/>
        <w:rPr/>
      </w:pPr>
      <w:r>
        <w:rPr/>
        <w:t xml:space="preserve"> </w:t>
      </w:r>
    </w:p>
    <w:p>
      <w:pPr>
        <w:pStyle w:val="Heading2"/>
        <w:spacing/>
        <w:rPr/>
      </w:pPr>
      <w:bookmarkStart w:id="26" w:name="_Toc0000000022"/>
      <w:r>
        <w:rPr/>
        <w:t xml:space="preserve">Events</w:t>
      </w:r>
      <w:bookmarkEnd w:id="2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A portable adult change facility is provided</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0AC804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