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Killara Distillery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32 Ogilvie Lane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Richmond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Kristy Lark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0439617564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admin@killaradistillery.com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https://killaradistillery.com/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2026-08-24 17:18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939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39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Keep it clear at all times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The experiences offered at Killara Distillery are for small groups, rarely more than 10 and the experiences don't last longer than 90 minutes. We have a dedicated fire warden onsite at all times to assist all visitors to the evacuation area which is accessible by wheelchair or those with low mobility.  We do not have a guest log as we are not accommodation. We could add to our booking system a question about accessible requirements, but this seems like it might be insensitive. This also wouldn't address those who come to the distillery without a booking.</w:t>
      </w:r>
    </w:p>
    <w:p>
      <w:pPr>
        <w:spacing/>
        <w:rPr/>
      </w:pPr>
      <w:r>
        <w:rPr/>
        <w:t xml:space="preserve">The procedure for assisting guests who need assisted rescue is: </w:t>
      </w:r>
    </w:p>
    <w:p>
      <w:pPr>
        <w:pBdr/>
        <w:spacing/>
        <w:rPr/>
      </w:pPr>
      <w:r>
        <w:rPr/>
        <w:t xml:space="preserve">Not applicable to the distillery location.</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https://accreditation.qualitytourismaustralia.com/report/AccessReportPublicHtml2/d6287f24-c39c-4c08-9caf-cecbe7c59679#</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Killara Distillery has areas with shade and water that allow for all service and non-service animals to be secured if not with their people..</w:t>
      </w:r>
    </w:p>
    <w:p>
      <w:pPr>
        <w:pStyle w:val="Heading1"/>
        <w:spacing/>
        <w:rPr/>
      </w:pPr>
      <w:bookmarkStart w:id="11" w:name="_Toc0000000007"/>
      <w:r>
        <w:rPr/>
        <w:t xml:space="preserve">GENERAL</w:t>
      </w:r>
      <w:bookmarkEnd w:id="11"/>
    </w:p>
    <w:p>
      <w:pPr>
        <w:pStyle w:val="ListBullet"/>
        <w:numPr>
          <w:ilvl w:val="0"/>
          <w:numId w:val="35"/>
        </w:numPr>
        <w:spacing/>
        <w:rPr/>
      </w:pPr>
      <w:r>
        <w:rPr/>
        <w:t xml:space="preserve">In addition, the following further information can assist guests:</w:t>
      </w:r>
    </w:p>
    <w:p>
      <w:pPr>
        <w:spacing/>
        <w:rPr/>
      </w:pPr>
      <w:r>
        <w:rPr/>
        <w:t xml:space="preserve">Seating available both inside and outside while visitors wait for their experience.</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9" w:name="_Toc0000000015"/>
      <w:r>
        <w:rPr/>
        <w:t xml:space="preserve">COMMON AREAS</w:t>
      </w:r>
      <w:bookmarkEnd w:id="19"/>
    </w:p>
    <w:p>
      <w:pPr>
        <w:spacing/>
        <w:rPr/>
      </w:pPr>
      <w:r>
        <w:rPr/>
        <w:t xml:space="preserve"> </w:t>
      </w:r>
    </w:p>
    <w:p>
      <w:pPr>
        <w:pStyle w:val="Heading2"/>
        <w:spacing/>
        <w:rPr/>
      </w:pPr>
      <w:bookmarkStart w:id="20" w:name="_Toc0000000016"/>
      <w:r>
        <w:rPr/>
        <w:t xml:space="preserve">Parks and gardens</w:t>
      </w:r>
      <w:bookmarkEnd w:id="20"/>
    </w:p>
    <w:p>
      <w:pPr>
        <w:pStyle w:val="ListBullet"/>
        <w:numPr>
          <w:ilvl w:val="0"/>
          <w:numId w:val="35"/>
        </w:numPr>
        <w:spacing/>
        <w:rPr/>
      </w:pPr>
      <w:r>
        <w:rPr/>
        <w:t xml:space="preserve">Accessible toilets</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Direction signage contains distances</w:t>
      </w:r>
    </w:p>
    <w:p>
      <w:pPr>
        <w:pStyle w:val="ListBullet"/>
        <w:numPr>
          <w:ilvl w:val="0"/>
          <w:numId w:val="35"/>
        </w:numPr>
        <w:spacing/>
        <w:rPr/>
      </w:pPr>
      <w:r>
        <w:rPr/>
        <w:t xml:space="preserve">The park or garden contains  sensory experiences</w:t>
      </w:r>
    </w:p>
    <w:p>
      <w:pPr>
        <w:pStyle w:val="ListBullet"/>
        <w:numPr>
          <w:ilvl w:val="0"/>
          <w:numId w:val="35"/>
        </w:numPr>
        <w:spacing/>
        <w:rPr/>
      </w:pPr>
      <w:r>
        <w:rPr/>
        <w:t xml:space="preserve">Accessible picnic tables</w:t>
      </w:r>
    </w:p>
    <w:p>
      <w:pPr>
        <w:pStyle w:val="ListBullet"/>
        <w:numPr>
          <w:ilvl w:val="0"/>
          <w:numId w:val="35"/>
        </w:numPr>
        <w:spacing/>
        <w:rPr/>
      </w:pPr>
      <w:r>
        <w:rPr/>
        <w:t xml:space="preserve">Accessible drinking fountains</w:t>
      </w:r>
    </w:p>
    <w:p>
      <w:pPr>
        <w:pStyle w:val="ListBullet"/>
        <w:numPr>
          <w:ilvl w:val="0"/>
          <w:numId w:val="35"/>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663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63700"/>
                    </a:xfrm>
                    <a:prstGeom prst="rect">
                      <a:avLst/>
                    </a:prstGeom>
                  </pic:spPr>
                </pic:pic>
              </a:graphicData>
            </a:graphic>
          </wp:inline>
        </w:drawing>
      </w:r>
    </w:p>
    <w:p>
      <w:pPr>
        <w:spacing/>
        <w:rPr/>
      </w:pPr>
      <w:r>
        <w:rPr/>
        <w:t xml:space="preserve">Distillery Accessible Entrance</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Function Room and Pathway to Accessible Bathroom</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Stair Entrance and Garden</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Stairs at alternative entrance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Ramp for accessible entrance</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Walkway to Cellar Door</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Area</w:t>
      </w:r>
    </w:p>
    <w:p>
      <w:pPr>
        <w:spacing/>
        <w:rPr/>
      </w:pPr>
      <w:r>
        <w:rPr/>
        <w:drawing>
          <wp:inline>
            <wp:extent cx="2540000" cy="17272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727200"/>
                    </a:xfrm>
                    <a:prstGeom prst="rect">
                      <a:avLst/>
                    </a:prstGeom>
                  </pic:spPr>
                </pic:pic>
              </a:graphicData>
            </a:graphic>
          </wp:inline>
        </w:drawing>
      </w:r>
    </w:p>
    <w:p>
      <w:pPr>
        <w:spacing/>
        <w:rPr/>
      </w:pPr>
      <w:r>
        <w:rPr/>
        <w:t xml:space="preserve">Distillery</w:t>
      </w:r>
    </w:p>
    <w:p>
      <w:pPr>
        <w:spacing/>
        <w:rPr/>
      </w:pPr>
      <w:r>
        <w:rPr/>
        <w:drawing>
          <wp:inline>
            <wp:extent cx="2540000" cy="17018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701800"/>
                    </a:xfrm>
                    <a:prstGeom prst="rect">
                      <a:avLst/>
                    </a:prstGeom>
                  </pic:spPr>
                </pic:pic>
              </a:graphicData>
            </a:graphic>
          </wp:inline>
        </w:drawing>
      </w:r>
    </w:p>
    <w:p>
      <w:pPr>
        <w:spacing/>
        <w:rPr/>
      </w:pPr>
      <w:r>
        <w:rPr/>
        <w:t xml:space="preserve">Distillery With Barn Door Alternative Entry</w:t>
      </w:r>
    </w:p>
    <w:p>
      <w:pPr>
        <w:spacing/>
        <w:rPr/>
      </w:pPr>
      <w:r>
        <w:rPr/>
        <w:drawing>
          <wp:inline>
            <wp:extent cx="2540000" cy="16891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689100"/>
                    </a:xfrm>
                    <a:prstGeom prst="rect">
                      <a:avLst/>
                    </a:prstGeom>
                  </pic:spPr>
                </pic:pic>
              </a:graphicData>
            </a:graphic>
          </wp:inline>
        </w:drawing>
      </w:r>
    </w:p>
    <w:p>
      <w:pPr>
        <w:spacing/>
        <w:rPr/>
      </w:pPr>
      <w:r>
        <w:rPr/>
        <w:t xml:space="preserve">Apothecary Labyrinth</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Pathway to Function Room and Accessible Bathroom</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Function Room Space - changes as required for events</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Bathroom</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Accessible Bathroom Sign with Braille</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do not make or handle food onsite. When we have events we outsource to local food vans or catering services.</w:t>
      </w:r>
    </w:p>
    <w:p>
      <w:pPr>
        <w:pStyle w:val="Subtitle"/>
        <w:spacing/>
        <w:rPr/>
      </w:pPr>
      <w:r>
        <w:rPr/>
        <w:t xml:space="preserve">Food and Beverage Image(s)</w:t>
      </w:r>
    </w:p>
    <w:p>
      <w:pPr>
        <w:spacing/>
        <w:rPr/>
      </w:pPr>
      <w:r>
        <w:rPr/>
        <w:drawing>
          <wp:inline>
            <wp:extent cx="2540000" cy="1905000"/>
            <wp:docPr id="1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Area</w:t>
      </w:r>
    </w:p>
    <w:p>
      <w:pPr>
        <w:spacing/>
        <w:rPr/>
      </w:pPr>
      <w:r>
        <w:rPr/>
        <w:drawing>
          <wp:inline>
            <wp:extent cx="2540000" cy="1689100"/>
            <wp:docPr id="17"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pPr>
      <w:r>
        <w:rPr/>
        <w:t xml:space="preserve">Function Room Space - changes as required for events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Common Areas: The Apothecary Garden doesn't have any steps, although it is not paved. The only steps are from the car park to the entrance way, and there is an accessible pathway using the ramped driveway. The garden is also not massive, and so we don't have a map for this area, step-free or otherwise.We don't have any BBQs as this is not part of the experiences offered by the distillery. We also don't have any water fountains, as we provide water to guests in cellar door upon arrival.&amp;nbsp;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30BAEF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7" Type="http://schemas.openxmlformats.org/officeDocument/2006/relationships/styles" Target="styles.xml" /><Relationship Id="rId18" Type="http://schemas.openxmlformats.org/officeDocument/2006/relationships/settings" Target="settings.xml" /><Relationship Id="rId19" Type="http://schemas.openxmlformats.org/officeDocument/2006/relationships/theme" Target="theme/theme1.xml" /><Relationship Id="rId20" Type="http://schemas.openxmlformats.org/officeDocument/2006/relationships/numbering" Target="numbering.xml" /><Relationship Id="rId1" Type="http://schemas.openxmlformats.org/officeDocument/2006/relationships/footer" Target="footer1.xml" /><Relationship Id="rId2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customXml" Target="../customXml/item3.xml" /><Relationship Id="rId2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