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Journey Margaret River </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24 Tonkin Bvd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Margaret River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Mo Ashton-Dean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0459488670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info@thejourneymargaretriver.com.au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www.thejourneymargaretriver.com.au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2026-08-14 01:15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Steps</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Guides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spacing/>
        <w:rPr/>
      </w:pPr>
    </w:p>
    <w:p>
      <w:pPr>
        <w:pBdr/>
        <w:spacing/>
        <w:rPr/>
      </w:pPr>
      <w:r>
        <w:rPr/>
        <w:t xml:space="preserve">Any accessibility or assistance needs disclosed at booking are noted and held with the booking details for the day.</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spacing/>
        <w:rPr/>
      </w:pPr>
      <w:r>
        <w:rPr/>
        <w:t xml:space="preserve">The business provides the following services for services animals: </w:t>
      </w:r>
    </w:p>
    <w:p>
      <w:pPr>
        <w:pBdr/>
        <w:spacing/>
        <w:rPr/>
      </w:pPr>
      <w:r>
        <w:rPr/>
        <w:t xml:space="preserve">Assistance animals are welcome to travel in the vehicle. Water can be provided and because the day runs at the guest's pace, stops for the animal can be made as needed.</w:t>
      </w:r>
    </w:p>
    <w:p>
      <w:pPr>
        <w:pStyle w:val="Heading1"/>
        <w:spacing/>
        <w:rPr/>
      </w:pPr>
      <w:bookmarkStart w:id="10" w:name="_Toc0000000006"/>
      <w:r>
        <w:rPr/>
        <w:t xml:space="preserve">GENERAL</w:t>
      </w:r>
      <w:bookmarkEnd w:id="10"/>
    </w:p>
    <w:p>
      <w:pPr>
        <w:pStyle w:val="ListBullet"/>
        <w:numPr>
          <w:ilvl w:val="0"/>
          <w:numId w:val="35"/>
        </w:numPr>
        <w:spacing/>
        <w:rPr/>
      </w:pPr>
      <w:r>
        <w:rPr/>
        <w:t xml:space="preserve">In addition, the following further information can assist guests:</w:t>
      </w:r>
    </w:p>
    <w:p>
      <w:pPr>
        <w:spacing/>
        <w:rPr/>
      </w:pPr>
      <w:r>
        <w:rPr/>
        <w:t xml:space="preserve">When taking guests to a venue, i will ensure to speak with venue in advance to ensure ease of access.&amp;nbsp;</w:t>
      </w:r>
    </w:p>
    <w:p>
      <w:pPr>
        <w:pStyle w:val="ListBullet"/>
        <w:numPr>
          <w:ilvl w:val="0"/>
          <w:numId w:val="35"/>
        </w:numPr>
        <w:spacing/>
        <w:rPr/>
      </w:pPr>
      <w:r>
        <w:rPr/>
        <w:t xml:space="preserve">In addition, the following further information can assist guests:</w:t>
      </w:r>
    </w:p>
    <w:p>
      <w:pPr>
        <w:spacing/>
        <w:rPr/>
      </w:pPr>
      <w:r>
        <w:rPr/>
        <w:t xml:space="preserve">n/a&amp;nbsp;</w:t>
      </w:r>
    </w:p>
    <w:p>
      <w:pPr>
        <w:spacing/>
        <w:rPr/>
      </w:pPr>
      <w:r>
        <w:rPr/>
        <w:t xml:space="preserve"> </w:t>
      </w:r>
    </w:p>
    <w:p>
      <w:pPr>
        <w:pStyle w:val="Heading2"/>
        <w:spacing/>
        <w:rPr/>
      </w:pPr>
      <w:bookmarkStart w:id="11" w:name="_Toc0000000007"/>
      <w:r>
        <w:rPr/>
        <w:t xml:space="preserve">Cognitive Impairment Support</w:t>
      </w:r>
      <w:bookmarkEnd w:id="11"/>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Access has alternative procedures and clear written instructions with universal access symbols</w:t>
      </w:r>
    </w:p>
    <w:p>
      <w:pPr>
        <w:pStyle w:val="ListBullet"/>
        <w:numPr>
          <w:ilvl w:val="0"/>
          <w:numId w:val="35"/>
        </w:numPr>
        <w:spacing/>
        <w:rPr/>
      </w:pPr>
      <w:r>
        <w:rPr/>
        <w:t xml:space="preserve">In addition, the following further information can assist guests:</w:t>
      </w:r>
    </w:p>
    <w:p>
      <w:pPr>
        <w:spacing/>
        <w:rPr/>
      </w:pPr>
      <w:r>
        <w:rPr/>
        <w:t xml:space="preserve">n/a&amp;nbsp;</w:t>
      </w:r>
    </w:p>
    <w:p>
      <w:pPr>
        <w:spacing/>
        <w:rPr/>
      </w:pPr>
      <w:r>
        <w:rPr/>
        <w:t xml:space="preserve"> </w:t>
      </w:r>
    </w:p>
    <w:p>
      <w:pPr>
        <w:pStyle w:val="Heading2"/>
        <w:spacing/>
        <w:rPr/>
      </w:pPr>
      <w:bookmarkStart w:id="12" w:name="_Toc0000000008"/>
      <w:r>
        <w:rPr/>
        <w:t xml:space="preserve">Displays, exhibits, commentary and live performances</w:t>
      </w:r>
      <w:bookmarkEnd w:id="12"/>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n/a&amp;nbsp;</w:t>
      </w:r>
    </w:p>
    <w:p>
      <w:pPr>
        <w:spacing/>
        <w:rPr/>
      </w:pPr>
      <w:r>
        <w:rPr/>
        <w:t xml:space="preserve">The width of the smallest pathway is: </w:t>
      </w:r>
    </w:p>
    <w:p>
      <w:pPr>
        <w:pBdr/>
        <w:spacing/>
        <w:rPr/>
      </w:pPr>
      <w:r>
        <w:rPr/>
        <w:t xml:space="preserve">dont have pathways </w:t>
      </w:r>
    </w:p>
    <w:p>
      <w:pPr>
        <w:spacing/>
        <w:rPr/>
      </w:pPr>
    </w:p>
    <w:p>
      <w:pPr>
        <w:pBdr/>
        <w:spacing/>
        <w:rPr/>
      </w:pPr>
      <w:r>
        <w:rPr/>
        <w:t xml:space="preserve">i have one step into my car</w:t>
      </w:r>
    </w:p>
    <w:p>
      <w:pPr>
        <w:pStyle w:val="ListBullet"/>
        <w:numPr>
          <w:ilvl w:val="0"/>
          <w:numId w:val="35"/>
        </w:numPr>
        <w:spacing/>
        <w:rPr/>
      </w:pPr>
      <w:r>
        <w:rPr/>
        <w:t xml:space="preserve">In addition, the following further information can assist guests:</w:t>
      </w:r>
    </w:p>
    <w:p>
      <w:pPr>
        <w:spacing/>
        <w:rPr/>
      </w:pPr>
      <w:r>
        <w:rPr/>
        <w:t xml:space="preserve">n/a&amp;nbsp;</w:t>
      </w:r>
    </w:p>
    <w:p>
      <w:pPr>
        <w:spacing/>
        <w:rPr/>
      </w:pPr>
      <w:r>
        <w:rPr/>
        <w:t xml:space="preserve"> </w:t>
      </w:r>
    </w:p>
    <w:p>
      <w:pPr>
        <w:pStyle w:val="Heading2"/>
        <w:spacing/>
        <w:rPr/>
      </w:pPr>
      <w:bookmarkStart w:id="13" w:name="_Toc0000000009"/>
      <w:r>
        <w:rPr/>
        <w:t xml:space="preserve">Steps</w:t>
      </w:r>
      <w:bookmarkEnd w:id="13"/>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one step into car</w:t>
      </w:r>
    </w:p>
    <w:p>
      <w:pPr>
        <w:pStyle w:val="ListBullet"/>
        <w:numPr>
          <w:ilvl w:val="0"/>
          <w:numId w:val="35"/>
        </w:numPr>
        <w:spacing/>
        <w:rPr/>
      </w:pPr>
      <w:r>
        <w:rPr/>
        <w:t xml:space="preserve">In addition, the following further information can assist guests:</w:t>
      </w:r>
    </w:p>
    <w:p>
      <w:pPr>
        <w:spacing/>
        <w:rPr/>
      </w:pPr>
      <w:r>
        <w:rPr/>
        <w:t xml:space="preserve">guests can use venues facilities&amp;nbsp;</w:t>
      </w:r>
    </w:p>
    <w:p>
      <w:pPr>
        <w:pStyle w:val="Heading1"/>
        <w:spacing/>
        <w:rPr/>
      </w:pPr>
      <w:bookmarkStart w:id="14" w:name="_Toc0000000010"/>
      <w:r>
        <w:rPr/>
        <w:t xml:space="preserve">TOUR OPERATORS</w:t>
      </w:r>
      <w:bookmarkEnd w:id="14"/>
    </w:p>
    <w:p>
      <w:pPr>
        <w:spacing/>
        <w:rPr/>
      </w:pPr>
      <w:r>
        <w:rPr/>
        <w:t xml:space="preserve"> </w:t>
      </w:r>
    </w:p>
    <w:p>
      <w:pPr>
        <w:pStyle w:val="Heading2"/>
        <w:spacing/>
        <w:rPr/>
      </w:pPr>
      <w:bookmarkStart w:id="15" w:name="_Toc0000000011"/>
      <w:r>
        <w:rPr/>
        <w:t xml:space="preserve">Route Planning</w:t>
      </w:r>
      <w:bookmarkEnd w:id="15"/>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i drive kia carnivals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16" w:name="_Toc0000000012"/>
      <w:r>
        <w:rPr/>
        <w:t xml:space="preserve">Guides</w:t>
      </w:r>
      <w:bookmarkEnd w:id="16"/>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In addition, the following further information can assist guests:</w:t>
      </w:r>
    </w:p>
    <w:p>
      <w:pPr>
        <w:spacing/>
        <w:rPr/>
      </w:pPr>
      <w:r>
        <w:rPr/>
        <w:t xml:space="preserve">this is a custom tour with over 150 plus optional stops in the region.&amp;nbsp;</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Let us know in advance and we can curate a private tour to suit any needs.&amp;nbsp;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7" w:name="_Toc0000000013"/>
      <w:r>
        <w:rPr/>
        <w:t xml:space="preserve">Report Disclaimer</w:t>
      </w:r>
      <w:bookmarkEnd w:id="1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97DB68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numbering" Target="numbering.xml" /><Relationship Id="rId1" Type="http://schemas.openxmlformats.org/officeDocument/2006/relationships/footer" Target="footer1.xml" /><Relationship Id="rId6" Type="http://schemas.openxmlformats.org/officeDocument/2006/relationships/fontTable" Target="fontTable.xml" /><Relationship Id="rId7" Type="http://schemas.openxmlformats.org/officeDocument/2006/relationships/customXml" Target="../customXml/item1.xml" /><Relationship Id="rId8" Type="http://schemas.openxmlformats.org/officeDocument/2006/relationships/customXml" Target="../customXml/item2.xml" /><Relationship Id="rId9" Type="http://schemas.openxmlformats.org/officeDocument/2006/relationships/customXml" Target="../customXml/item3.xml" /><Relationship Id="rId1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