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Perth Mint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310 Hay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East 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Veronica Wilson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9421 7433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reception@perthmint.com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https://www.perthmint.com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2026-09-26 05:53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EVENTS</w:t>
          </w:r>
          <w:r>
            <w:rPr/>
            <w:tab/>
            <w:t xml:space="preserve"/>
          </w:r>
          <w:r>
            <w:rPr/>
            <w:fldChar w:fldCharType="begin"/>
          </w:r>
          <w:r>
            <w:rPr/>
            <w:instrText xml:space="preserve">PAGEREF _Toc0000000022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Events</w:t>
          </w:r>
          <w:r>
            <w:rPr/>
            <w:tab/>
            <w:t xml:space="preserve"/>
          </w:r>
          <w:r>
            <w:rPr/>
            <w:fldChar w:fldCharType="begin"/>
          </w:r>
          <w:r>
            <w:rPr/>
            <w:instrText xml:space="preserve">PAGEREF _Toc0000000023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drawing>
          <wp:inline>
            <wp:extent cx="2540000" cy="1117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1176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https://www.perthmint.com/visit/visitor-information/</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Brochureware made available in 8 different languages, as well as ExperiencePlus app available for written content and information. </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The Perth Mint offers audio guides in 10 languages English, Chinese, Indonesian, Korean, French, German, Italian, Spanish and Dutch through an Experience Plus app that may be downloaded. </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The Perth Mint has an Assistance Animals Policy and welcomes assistance animals to our visitor experience.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Visitors may purchase tour tickets to The Perth Mint via their smartphones or in person with a Visitor Services Officer by the Reception desk. Customers are supported by Visitor Service Officers in purchasing tickets directly at the Reception Counter.</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Visitor Services Officers provide suggestions for available seating options within and around The Perth Mint site. There is available seating throughout the venue for visitors partaking the tour during the heritage talk outside the heritage building, around the 1 Tonne Gold Coin within the heritage building, and in the outdoor courtyard upon exiting the exhibition areas. Visitors are given priority access to the Exhibition if needed and can enter into the Museum ahead of other guests on the tour to provide them with more quiet space and time to explore the venue.</w:t>
      </w:r>
    </w:p>
    <w:p>
      <w:pPr>
        <w:pBdr/>
        <w:spacing/>
        <w:rPr/>
      </w:pPr>
    </w:p>
    <w:p>
      <w:pPr>
        <w:pBdr/>
        <w:spacing/>
        <w:rPr/>
      </w:pP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In addition, the following further information can assist guests:</w:t>
      </w:r>
    </w:p>
    <w:p>
      <w:pPr>
        <w:spacing/>
        <w:rPr/>
      </w:pPr>
      <w:r>
        <w:rPr/>
        <w:t xml:space="preserve">The Perth Mint offers private tours to support visitors with cognitive impairment needs at no extra cost. Lighting is brightened and noise/music and sound effects turned off to minimise overstimulation. Hands-on tours are provided and free-roaming exploration time is prioritised for visitors to engage with the content at their own pace.</w:t>
      </w:r>
    </w:p>
    <w:p>
      <w:pPr>
        <w:pBdr/>
        <w:spacing/>
        <w:rPr/>
      </w:pPr>
    </w:p>
    <w:p>
      <w:pPr>
        <w:pBdr/>
        <w:spacing/>
        <w:rPr/>
      </w:pP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Main doors to premises are kept open throughout year as heritage restrictions mean we cannot install a self-closing mechanism.</w:t>
      </w:r>
    </w:p>
    <w:p>
      <w:pPr>
        <w:pStyle w:val="ListBullet"/>
        <w:numPr>
          <w:ilvl w:val="0"/>
          <w:numId w:val="35"/>
        </w:numPr>
        <w:spacing/>
        <w:rPr/>
      </w:pPr>
      <w:r>
        <w:rPr/>
        <w:t xml:space="preserve">In addition, the following further information can assist guests:</w:t>
      </w:r>
    </w:p>
    <w:p>
      <w:pPr>
        <w:spacing/>
        <w:rPr/>
      </w:pPr>
      <w:r>
        <w:rPr/>
        <w:t xml:space="preserve">The premises resides in a heritage building and all public areas are located on the ground floor where lifts are not required.</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The Perth Mint site is physically accessible for visitors with mobility aids and wheelchairs. The site offers the use of a wheelchair to visitors if required.</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Hearing loops</w:t>
      </w:r>
    </w:p>
    <w:p>
      <w:pPr>
        <w:pStyle w:val="ListBullet"/>
        <w:numPr>
          <w:ilvl w:val="0"/>
          <w:numId w:val="35"/>
        </w:numPr>
        <w:spacing/>
        <w:rPr/>
      </w:pPr>
      <w:r>
        <w:rPr/>
        <w:t xml:space="preserve">Hearing loop symbols are displayed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Hearing loops have been installed in the Melting House where our gold pour demonstrations are conducted. We offer Auslan Tours every six months with interpreters available on every tour. This is a free offering to all visitors.</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Hearting loops for live shows and presentations</w:t>
      </w:r>
    </w:p>
    <w:p>
      <w:pPr>
        <w:pStyle w:val="ListBullet"/>
        <w:numPr>
          <w:ilvl w:val="0"/>
          <w:numId w:val="35"/>
        </w:numPr>
        <w:spacing/>
        <w:rPr/>
      </w:pPr>
      <w:r>
        <w:rPr/>
        <w:t xml:space="preserve">In addition, the following further information can assist guests:</w:t>
      </w:r>
    </w:p>
    <w:p>
      <w:pPr>
        <w:spacing/>
        <w:rPr/>
      </w:pPr>
      <w:r>
        <w:rPr/>
        <w:t xml:space="preserve">A hearing loop is located in the Melting House within The Perth Mint museum area for the gold pouring demonstration. Written transcripts are available in physical form (paper), or via the ExpereincePLus app, free for all visitors to access.</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The only path with steps has an adjacent path that is 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Steps leading to main building are supported by two ramps either side of entry for ease of access. Heritage setting restricts signage available to display in external spaces.</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Two spaces have more than three steps: Inside the Exhibition, steps leading up to bathrooms available on level 1. Universal access bathrooms are available inside the premises on the ground floor. The other location that has more than three steps is the entrance to the 310 building, which has ramps on either side for universal access.</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Temporary ramps available if required, and all ramps provide full access to ground level of 310 building.</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835mm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height of the toilet seat is: 411mm.</w:t>
      </w:r>
    </w:p>
    <w:p>
      <w:pPr>
        <w:pStyle w:val="Heading1"/>
        <w:spacing/>
        <w:rPr/>
      </w:pPr>
      <w:bookmarkStart w:id="24" w:name="_Toc0000000020"/>
      <w:r>
        <w:rPr/>
        <w:t xml:space="preserve">ATTRACTIONS</w:t>
      </w:r>
      <w:bookmarkEnd w:id="24"/>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Disabled parking area</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Main entrance aerial view</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Main entrance</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Ticket counter</w:t>
      </w:r>
    </w:p>
    <w:p>
      <w:pPr>
        <w:spacing/>
        <w:rPr/>
      </w:pPr>
      <w:r>
        <w:rPr/>
        <w:drawing>
          <wp:inline>
            <wp:extent cx="2540000" cy="15748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574800"/>
                    </a:xfrm>
                    <a:prstGeom prst="rect">
                      <a:avLst/>
                    </a:prstGeom>
                  </pic:spPr>
                </pic:pic>
              </a:graphicData>
            </a:graphic>
          </wp:inline>
        </w:drawing>
      </w:r>
    </w:p>
    <w:p>
      <w:pPr>
        <w:spacing/>
        <w:rPr/>
      </w:pPr>
      <w:r>
        <w:rPr/>
        <w:t xml:space="preserve">Exhibits 1</w:t>
      </w:r>
    </w:p>
    <w:p>
      <w:pPr>
        <w:spacing/>
        <w:rPr/>
      </w:pPr>
      <w:r>
        <w:rPr/>
        <w:drawing>
          <wp:inline>
            <wp:extent cx="2540000" cy="17526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752600"/>
                    </a:xfrm>
                    <a:prstGeom prst="rect">
                      <a:avLst/>
                    </a:prstGeom>
                  </pic:spPr>
                </pic:pic>
              </a:graphicData>
            </a:graphic>
          </wp:inline>
        </w:drawing>
      </w:r>
    </w:p>
    <w:p>
      <w:pPr>
        <w:spacing/>
        <w:rPr/>
      </w:pPr>
      <w:r>
        <w:rPr/>
        <w:t xml:space="preserve">Exhibits 2</w:t>
      </w:r>
    </w:p>
    <w:p>
      <w:pPr>
        <w:spacing/>
        <w:rPr/>
      </w:pPr>
      <w:r>
        <w:rPr/>
        <w:drawing>
          <wp:inline>
            <wp:extent cx="2540000" cy="16891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689100"/>
                    </a:xfrm>
                    <a:prstGeom prst="rect">
                      <a:avLst/>
                    </a:prstGeom>
                  </pic:spPr>
                </pic:pic>
              </a:graphicData>
            </a:graphic>
          </wp:inline>
        </w:drawing>
      </w:r>
    </w:p>
    <w:p>
      <w:pPr>
        <w:spacing/>
        <w:rPr/>
      </w:pPr>
      <w:r>
        <w:rPr/>
        <w:t xml:space="preserve">Exhibits 3</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toilet 1</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toilet 2</w:t>
      </w:r>
    </w:p>
    <w:p>
      <w:pPr>
        <w:spacing/>
        <w:rPr/>
      </w:pPr>
      <w:r>
        <w:rPr/>
        <w:drawing>
          <wp:inline>
            <wp:extent cx="2540000" cy="1905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905000"/>
                    </a:xfrm>
                    <a:prstGeom prst="rect">
                      <a:avLst/>
                    </a:prstGeom>
                  </pic:spPr>
                </pic:pic>
              </a:graphicData>
            </a:graphic>
          </wp:inline>
        </w:drawing>
      </w:r>
    </w:p>
    <w:p>
      <w:pPr>
        <w:spacing/>
        <w:rPr/>
      </w:pPr>
      <w:r>
        <w:rPr/>
        <w:t xml:space="preserve">Accessible toilet 3</w:t>
      </w:r>
    </w:p>
    <w:p>
      <w:pPr>
        <w:spacing/>
        <w:rPr/>
      </w:pPr>
      <w:r>
        <w:rPr/>
        <w:drawing>
          <wp:inline>
            <wp:extent cx="2540000" cy="16891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689100"/>
                    </a:xfrm>
                    <a:prstGeom prst="rect">
                      <a:avLst/>
                    </a:prstGeom>
                  </pic:spPr>
                </pic:pic>
              </a:graphicData>
            </a:graphic>
          </wp:inline>
        </w:drawing>
      </w:r>
    </w:p>
    <w:p>
      <w:pPr>
        <w:spacing/>
        <w:rPr/>
      </w:pPr>
      <w:r>
        <w:rPr/>
        <w:t xml:space="preserve">Jewellery Shop </w:t>
      </w:r>
    </w:p>
    <w:p>
      <w:pPr>
        <w:spacing/>
        <w:rPr/>
      </w:pPr>
      <w:r>
        <w:rPr/>
        <w:drawing>
          <wp:inline>
            <wp:extent cx="2540000" cy="16002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600200"/>
                    </a:xfrm>
                    <a:prstGeom prst="rect">
                      <a:avLst/>
                    </a:prstGeom>
                  </pic:spPr>
                </pic:pic>
              </a:graphicData>
            </a:graphic>
          </wp:inline>
        </w:drawing>
      </w:r>
    </w:p>
    <w:p>
      <w:pPr>
        <w:spacing/>
        <w:rPr/>
      </w:pPr>
      <w:r>
        <w:rPr/>
        <w:t xml:space="preserve">Gift Shop </w:t>
      </w:r>
    </w:p>
    <w:p>
      <w:pPr>
        <w:pStyle w:val="Heading1"/>
        <w:spacing/>
        <w:rPr/>
      </w:pPr>
      <w:bookmarkStart w:id="25" w:name="_Toc0000000021"/>
      <w:r>
        <w:rPr/>
        <w:t xml:space="preserve">COMMON AREAS</w:t>
      </w:r>
      <w:bookmarkEnd w:id="25"/>
    </w:p>
    <w:p>
      <w:pPr>
        <w:pStyle w:val="Heading1"/>
        <w:spacing/>
        <w:rPr/>
      </w:pPr>
      <w:bookmarkStart w:id="26" w:name="_Toc0000000022"/>
      <w:r>
        <w:rPr/>
        <w:t xml:space="preserve">EVENTS</w:t>
      </w:r>
      <w:bookmarkEnd w:id="26"/>
    </w:p>
    <w:p>
      <w:pPr>
        <w:spacing/>
        <w:rPr/>
      </w:pPr>
      <w:r>
        <w:rPr/>
        <w:t xml:space="preserve"> </w:t>
      </w:r>
    </w:p>
    <w:p>
      <w:pPr>
        <w:pStyle w:val="Heading2"/>
        <w:spacing/>
        <w:rPr/>
      </w:pPr>
      <w:bookmarkStart w:id="27" w:name="_Toc0000000023"/>
      <w:r>
        <w:rPr/>
        <w:t xml:space="preserve">Events</w:t>
      </w:r>
      <w:bookmarkEnd w:id="27"/>
    </w:p>
    <w:p>
      <w:pPr>
        <w:spacing/>
        <w:rPr/>
      </w:pPr>
      <w:r>
        <w:rPr/>
        <w:t xml:space="preserve">Events  have the following facilities/amenities in place</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Grassed areas are covered with a hard surface</w:t>
      </w:r>
    </w:p>
    <w:p>
      <w:pPr>
        <w:pStyle w:val="ListBullet"/>
        <w:numPr>
          <w:ilvl w:val="0"/>
          <w:numId w:val="35"/>
        </w:numPr>
        <w:spacing/>
        <w:rPr/>
      </w:pPr>
      <w:r>
        <w:rPr/>
        <w:t xml:space="preserve">Side shows, activities etc. are accessible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Accessible public transport is detailed in the event information</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B1C08D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5" Type="http://schemas.openxmlformats.org/officeDocument/2006/relationships/styles" Target="styles.xml" /><Relationship Id="rId16" Type="http://schemas.openxmlformats.org/officeDocument/2006/relationships/settings" Target="settings.xml" /><Relationship Id="rId17" Type="http://schemas.openxmlformats.org/officeDocument/2006/relationships/theme" Target="theme/theme1.xml" /><Relationship Id="rId18" Type="http://schemas.openxmlformats.org/officeDocument/2006/relationships/numbering" Target="numbering.xml" /><Relationship Id="rId1" Type="http://schemas.openxmlformats.org/officeDocument/2006/relationships/footer" Target="footer1.xml" /><Relationship Id="rId19"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 Id="rId2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