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SA eBikes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PO Box 60</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WILLUNGA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Shayne O'Brien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0490671789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info@sa-ebikes.com.au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www.sa-ebikes.com.au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2026-06-24 13:38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Guides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EVENTS</w:t>
          </w:r>
          <w:r>
            <w:rPr/>
            <w:tab/>
            <w:t xml:space="preserve"/>
          </w:r>
          <w:r>
            <w:rPr/>
            <w:fldChar w:fldCharType="begin"/>
          </w:r>
          <w:r>
            <w:rPr/>
            <w:instrText xml:space="preserve">PAGEREF _Toc0000000023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Events</w:t>
          </w:r>
          <w:r>
            <w:rPr/>
            <w:tab/>
            <w:t xml:space="preserve"/>
          </w:r>
          <w:r>
            <w:rPr/>
            <w:fldChar w:fldCharType="begin"/>
          </w:r>
          <w:r>
            <w:rPr/>
            <w:instrText xml:space="preserve">PAGEREF _Toc0000000024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9507200" cy="19507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507200" cy="19507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Subtitle"/>
        <w:spacing/>
        <w:rPr/>
      </w:pPr>
      <w:r>
        <w:rPr/>
        <w:t xml:space="preserve">A copy of the plan is available on request.</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IMG_9584.JPG</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IMG_9583.JPG</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https://sa-ebikes.com.au/about/accessibility/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Written communication if hearing impaired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If staff are made aware, guests with fatigue will be assisted as rapidly as possible.</w:t>
      </w:r>
    </w:p>
    <w:p>
      <w:pPr>
        <w:pStyle w:val="ListBullet"/>
        <w:numPr>
          <w:ilvl w:val="0"/>
          <w:numId w:val="35"/>
        </w:numPr>
        <w:spacing/>
        <w:rPr/>
      </w:pPr>
      <w:r>
        <w:rPr/>
        <w:t xml:space="preserve">In addition, the following further information can assist guests:</w:t>
      </w:r>
    </w:p>
    <w:p>
      <w:pPr>
        <w:spacing/>
        <w:rPr/>
      </w:pPr>
      <w:r>
        <w:rPr/>
        <w:t xml:space="preserve">Access to the Visitor Centre (VIC) hire hub is step free (either externally from the carpark or via the main entrance to the visitor centre, exiting through the tower room. If visitors are using the VIC deck area for coffee/meal, there are ramps (see photos) from this area to bypass a single step down to a lower seating area beside the deck. The toilet facilities for the VIC are just inside the main entrance, have step free access, and are wheelchair friendly.Access to the Shirvington Hire Hub is step free directly from the carpark. The cellar door entrance at Shirvington is step free, as are the toilet faclities (see photo).Access to the Oxenberry Hire Hub is step free directly from the carpark. &amp;nbsp;The cellar door entrance has a small step which can be transformed into a step free entrance if staff are notified, as a temporary ramp can be deployed. The toilet facilities are inside this area.Beresford has 2 pavilions. The Vale Restaurant at the top of the hill has step free access from the wheelchair accessible carpark by the entrance (see photo) and has wheelchair accessible toilet facilites. The Tasting pavilion on Blewitt Springs Rd is the site of the hire hub. There is step free access from the capark to the hire hub, the cellar door, and the toilet facilities (see photos).Familiarisation tour can be arrnaged to provide visitors with any further information required regarding access at any of our hire hubs.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Closest bus station is immediately adjacent to the entrance to the Visitor's Centre where we are located</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In addition, the following further information can assist guests:</w:t>
      </w:r>
    </w:p>
    <w:p>
      <w:pPr>
        <w:spacing/>
        <w:rPr/>
      </w:pPr>
      <w:r>
        <w:rPr/>
        <w:t xml:space="preserve">Oxenberry Farm have a temporary ramp to provide step free access to the cafe restaurant and toilet facilities.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Heading1"/>
        <w:spacing/>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TukTuk_Shannon_16600x1200jpeg</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ramp VIC backdeck.JPG</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ramp_VIC_to_party_area.JPG</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VIC accessibile entrance 4284x5712 5.1MB.JPG</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Beresford paths.JPG</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Beresford entrance tasting.JPG</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Beresford restaurant disabled park.JPG</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Beresford braille toilet sign.JPG</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Oxenberry disabled parking portrait.JPG</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Oxenberry toilet door portrait.JPG</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Oxenberry toilet interior portrait.JPG</w:t>
      </w:r>
    </w:p>
    <w:p>
      <w:pPr>
        <w:spacing/>
        <w:rPr/>
      </w:pPr>
      <w:r>
        <w:rPr/>
        <w:drawing>
          <wp:inline>
            <wp:extent cx="2540000" cy="1905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Beresford tasting pavilion facilities.JPG</w:t>
      </w:r>
    </w:p>
    <w:p>
      <w:pPr>
        <w:spacing/>
        <w:rPr/>
      </w:pPr>
      <w:r>
        <w:rPr/>
        <w:drawing>
          <wp:inline>
            <wp:extent cx="2540000" cy="1905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 facilities at Shirvington.JPG</w:t>
      </w:r>
    </w:p>
    <w:p>
      <w:pPr>
        <w:pStyle w:val="ListBullet"/>
        <w:numPr>
          <w:ilvl w:val="0"/>
          <w:numId w:val="35"/>
        </w:numPr>
        <w:spacing/>
        <w:rPr/>
      </w:pPr>
      <w:r>
        <w:rPr/>
        <w:t xml:space="preserve">In addition, the following further information can assist guests:</w:t>
      </w:r>
    </w:p>
    <w:p>
      <w:pPr>
        <w:spacing/>
        <w:rPr/>
      </w:pPr>
      <w:r>
        <w:rPr/>
        <w:t xml:space="preserve">McLaren Vale Visitor Information Centre: https://mclarenvaleeventcentre.com.au/Shirvington Wines: https://www.shirvington.com/&amp;nbsp;Oxenberry Farm Cafe: https://oxenberry.com/</w:t>
      </w:r>
    </w:p>
    <w:p>
      <w:pPr>
        <w:pStyle w:val="ListBullet"/>
        <w:numPr>
          <w:ilvl w:val="0"/>
          <w:numId w:val="35"/>
        </w:numPr>
        <w:spacing/>
        <w:rPr/>
      </w:pPr>
      <w:r>
        <w:rPr/>
        <w:t xml:space="preserve">In addition, the following further information can assist guests:</w:t>
      </w:r>
    </w:p>
    <w:p>
      <w:pPr>
        <w:spacing/>
        <w:rPr/>
      </w:pPr>
      <w:r>
        <w:rPr/>
        <w:t xml:space="preserve">Oxenberry Farm Cafe - entrance to the cafe has a 10cm step, there is a temporary ramp that can be deployed to create a step free entrance if required.</w:t>
      </w:r>
    </w:p>
    <w:p>
      <w:pPr>
        <w:pStyle w:val="Heading1"/>
        <w:spacing/>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eBikes, eTrikes, eTukTuks, each with hire or guided tour</w:t>
      </w:r>
    </w:p>
    <w:p>
      <w:pPr>
        <w:pStyle w:val="ListBullet"/>
        <w:numPr>
          <w:ilvl w:val="0"/>
          <w:numId w:val="35"/>
        </w:numPr>
        <w:spacing/>
        <w:rPr/>
      </w:pPr>
      <w:r>
        <w:rPr/>
        <w:t xml:space="preserve">In addition, the following further information can assist guests:</w:t>
      </w:r>
    </w:p>
    <w:p>
      <w:pPr>
        <w:spacing/>
        <w:rPr/>
      </w:pPr>
      <w:r>
        <w:rPr/>
        <w:t xml:space="preserve">eBikes options include cargo ebikes to carry passengers behind, trikes that some guests may find more stable if they have balance issues.The platform etrike has facility to securely carry a wheelchair and passenger in front of the rider.&amp;nbsp;Sitting in the back of aTuktuk is an option for people unable to ride bikes. The side arm of the tuktuk seat is removable allowing transfers across from wheelchairs, however the wheelchair itself would not be carried on the tuktuk.</w:t>
      </w:r>
    </w:p>
    <w:p>
      <w:pPr>
        <w:pStyle w:val="ListBullet"/>
        <w:numPr>
          <w:ilvl w:val="0"/>
          <w:numId w:val="35"/>
        </w:numPr>
        <w:spacing/>
        <w:rPr/>
      </w:pPr>
      <w:r>
        <w:rPr/>
        <w:t xml:space="preserve">In addition, the following further information can assist guests:</w:t>
      </w:r>
    </w:p>
    <w:p>
      <w:pPr>
        <w:spacing/>
        <w:rPr/>
      </w:pPr>
      <w:r>
        <w:rPr/>
        <w:t xml:space="preserve">Guests using ebikes must be able to safely ride the ebike, including consideration of ability to balance, co-ordination to operate the ebike and vision to ensure they do not put themselves or others in harm's way.</w:t>
      </w:r>
    </w:p>
    <w:p>
      <w:pPr>
        <w:pStyle w:val="Subtitle"/>
        <w:spacing/>
        <w:rPr/>
      </w:pPr>
      <w:r>
        <w:rPr/>
        <w:t xml:space="preserve">Adventure Activity Image(s)</w:t>
      </w:r>
    </w:p>
    <w:p>
      <w:pPr>
        <w:spacing/>
        <w:rPr/>
      </w:pPr>
      <w:r>
        <w:rPr/>
        <w:drawing>
          <wp:inline>
            <wp:extent cx="2540000" cy="142240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422400"/>
                    </a:xfrm>
                    <a:prstGeom prst="rect">
                      <a:avLst/>
                    </a:prstGeom>
                  </pic:spPr>
                </pic:pic>
              </a:graphicData>
            </a:graphic>
          </wp:inline>
        </w:drawing>
      </w:r>
    </w:p>
    <w:p>
      <w:pPr>
        <w:spacing/>
        <w:rPr/>
      </w:pPr>
      <w:r>
        <w:rPr/>
        <w:t xml:space="preserve">Platform bike (1)</w:t>
      </w:r>
    </w:p>
    <w:p>
      <w:pPr>
        <w:pStyle w:val="Heading1"/>
        <w:spacing/>
        <w:rPr/>
      </w:pPr>
      <w:bookmarkStart w:id="27" w:name="_Toc0000000023"/>
      <w:r>
        <w:rPr/>
        <w:t xml:space="preserve">EVENTS</w:t>
      </w:r>
      <w:bookmarkEnd w:id="27"/>
    </w:p>
    <w:p>
      <w:pPr>
        <w:spacing/>
        <w:rPr/>
      </w:pPr>
      <w:r>
        <w:rPr/>
        <w:t xml:space="preserve"> </w:t>
      </w:r>
    </w:p>
    <w:p>
      <w:pPr>
        <w:pStyle w:val="Heading2"/>
        <w:spacing/>
        <w:rPr/>
      </w:pPr>
      <w:bookmarkStart w:id="28" w:name="_Toc0000000024"/>
      <w:r>
        <w:rPr/>
        <w:t xml:space="preserve">Events</w:t>
      </w:r>
      <w:bookmarkEnd w:id="28"/>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 low height lectern is available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1B3271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9" Type="http://schemas.openxmlformats.org/officeDocument/2006/relationships/styles" Target="styles.xml" /><Relationship Id="rId20" Type="http://schemas.openxmlformats.org/officeDocument/2006/relationships/settings" Target="settings.xml" /><Relationship Id="rId21" Type="http://schemas.openxmlformats.org/officeDocument/2006/relationships/theme" Target="theme/theme1.xml" /><Relationship Id="rId22" Type="http://schemas.openxmlformats.org/officeDocument/2006/relationships/numbering" Target="numbering.xml" /><Relationship Id="rId1" Type="http://schemas.openxmlformats.org/officeDocument/2006/relationships/footer" Target="footer1.xml" /><Relationship Id="rId2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customXml" Target="../customXml/item3.xml" /><Relationship Id="rId2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