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Port Phillip Ferries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131 Harbour Esplanade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Docklands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Brad  Wright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9514 8959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info@portphillipferries.com.au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https://www.portphillipferries.com.au/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2026-10-28 17:38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Ramps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Guides</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_Toc0000000024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_Toc0000000025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_Toc0000000026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_Toc0000000027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_Toc0000000028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016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016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https://www.portphillipferries.com.au/accessibility/</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pStyle w:val="Subtitle"/>
        <w:spacing/>
        <w:rPr/>
      </w:pPr>
      <w:r>
        <w:rPr/>
        <w:t xml:space="preserve">Picture Boards Image(s)</w:t>
      </w:r>
    </w:p>
    <w:p>
      <w:pPr>
        <w:spacing/>
        <w:rPr/>
      </w:pPr>
      <w:r>
        <w:rPr/>
        <w:drawing>
          <wp:inline>
            <wp:extent cx="2540000" cy="1435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435100"/>
                    </a:xfrm>
                    <a:prstGeom prst="rect">
                      <a:avLst/>
                    </a:prstGeom>
                  </pic:spPr>
                </pic:pic>
              </a:graphicData>
            </a:graphic>
          </wp:inline>
        </w:drawing>
      </w:r>
    </w:p>
    <w:p>
      <w:pPr>
        <w:spacing/>
        <w:rPr/>
      </w:pPr>
      <w:r>
        <w:rPr/>
        <w:t xml:space="preserve">Breakfast-Deals</w:t>
      </w:r>
    </w:p>
    <w:p>
      <w:pPr>
        <w:spacing/>
        <w:rPr/>
      </w:pPr>
      <w:r>
        <w:rPr/>
        <w:drawing>
          <wp:inline>
            <wp:extent cx="2540000" cy="1435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435100"/>
                    </a:xfrm>
                    <a:prstGeom prst="rect">
                      <a:avLst/>
                    </a:prstGeom>
                  </pic:spPr>
                </pic:pic>
              </a:graphicData>
            </a:graphic>
          </wp:inline>
        </w:drawing>
      </w:r>
    </w:p>
    <w:p>
      <w:pPr>
        <w:spacing/>
        <w:rPr/>
      </w:pPr>
      <w:r>
        <w:rPr/>
        <w:t xml:space="preserve">Gourmet-Salad-Deal</w:t>
      </w:r>
    </w:p>
    <w:p>
      <w:pPr>
        <w:spacing/>
        <w:rPr/>
      </w:pPr>
      <w:r>
        <w:rPr/>
        <w:drawing>
          <wp:inline>
            <wp:extent cx="2540000" cy="1435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435100"/>
                    </a:xfrm>
                    <a:prstGeom prst="rect">
                      <a:avLst/>
                    </a:prstGeom>
                  </pic:spPr>
                </pic:pic>
              </a:graphicData>
            </a:graphic>
          </wp:inline>
        </w:drawing>
      </w:r>
    </w:p>
    <w:p>
      <w:pPr>
        <w:spacing/>
        <w:rPr/>
      </w:pPr>
      <w:r>
        <w:rPr/>
        <w:t xml:space="preserve">Pizza</w:t>
      </w:r>
    </w:p>
    <w:p>
      <w:pPr>
        <w:spacing/>
        <w:rPr/>
      </w:pPr>
      <w:r>
        <w:rPr/>
        <w:drawing>
          <wp:inline>
            <wp:extent cx="2540000" cy="1435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435100"/>
                    </a:xfrm>
                    <a:prstGeom prst="rect">
                      <a:avLst/>
                    </a:prstGeom>
                  </pic:spPr>
                </pic:pic>
              </a:graphicData>
            </a:graphic>
          </wp:inline>
        </w:drawing>
      </w:r>
    </w:p>
    <w:p>
      <w:pPr>
        <w:spacing/>
        <w:rPr/>
      </w:pPr>
      <w:r>
        <w:rPr/>
        <w:t xml:space="preserve">Wine-and-Cheese-Special</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Guide dogs and assistance animals are welcome on board our vessels, provided you and your assistance animal carry the appropriate/valid accreditation to travel.  For details on what is deemed a valid accreditation visit Public Transport Victoria or click here  Other pets or animals are not permitted on board. Our vessel does not have the space or facilities to cater to animals, and the decision is made for the comfort of the pets and other passengers. We appreciate your understanding.</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Hearing loop fitted to the reception area</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 https://www.portphillipferries.com.au/locations/</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Hearing loops</w:t>
      </w:r>
    </w:p>
    <w:p>
      <w:pPr>
        <w:pStyle w:val="ListBullet"/>
        <w:numPr>
          <w:ilvl w:val="0"/>
          <w:numId w:val="35"/>
        </w:numPr>
        <w:spacing/>
        <w:rPr/>
      </w:pPr>
      <w:r>
        <w:rPr/>
        <w:t xml:space="preserve">Hearing loop symbols are displayed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Temporary ramps are available</w:t>
      </w:r>
    </w:p>
    <w:p>
      <w:pPr>
        <w:spacing/>
        <w:rPr/>
      </w:pPr>
      <w:r>
        <w:rPr/>
        <w:t xml:space="preserve"> </w:t>
      </w:r>
    </w:p>
    <w:p>
      <w:pPr>
        <w:pStyle w:val="Heading2"/>
        <w:spacing/>
        <w:rPr/>
      </w:pPr>
      <w:bookmarkStart w:id="23" w:name="_Toc0000000019"/>
      <w:r>
        <w:rPr/>
        <w:t xml:space="preserve">Public Toilets/Adult change facilities</w:t>
      </w:r>
      <w:bookmarkEnd w:id="23"/>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Heading1"/>
        <w:spacing/>
        <w:rPr/>
      </w:pPr>
      <w:bookmarkStart w:id="24" w:name="_Toc0000000020"/>
      <w:r>
        <w:rPr/>
        <w:t xml:space="preserve">TOUR OPERATORS</w:t>
      </w:r>
      <w:bookmarkEnd w:id="24"/>
    </w:p>
    <w:p>
      <w:pPr>
        <w:spacing/>
        <w:rPr/>
      </w:pPr>
      <w:r>
        <w:rPr/>
        <w:t xml:space="preserve"> </w:t>
      </w:r>
    </w:p>
    <w:p>
      <w:pPr>
        <w:pStyle w:val="Heading2"/>
        <w:spacing/>
        <w:rPr/>
      </w:pPr>
      <w:bookmarkStart w:id="25" w:name="_Toc0000000021"/>
      <w:r>
        <w:rPr/>
        <w:t xml:space="preserve">Tour/Transport Services</w:t>
      </w:r>
      <w:bookmarkEnd w:id="25"/>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2 vehicles have wheelchair lifts or ramps</w:t>
      </w:r>
    </w:p>
    <w:p>
      <w:pPr>
        <w:pStyle w:val="ListBullet"/>
        <w:numPr>
          <w:ilvl w:val="0"/>
          <w:numId w:val="35"/>
        </w:numPr>
        <w:spacing/>
        <w:rPr/>
      </w:pPr>
      <w:r>
        <w:rPr/>
        <w:t xml:space="preserve">2 vehicles have low floors with ramped entry</w:t>
      </w:r>
    </w:p>
    <w:p>
      <w:pPr>
        <w:spacing/>
        <w:rPr/>
      </w:pPr>
      <w:r>
        <w:rPr/>
        <w:t xml:space="preserve">The maximum wheelchair capacity available in the fleet is: </w:t>
      </w:r>
    </w:p>
    <w:p>
      <w:pPr>
        <w:pBdr/>
        <w:spacing/>
        <w:rPr/>
      </w:pPr>
      <w:r>
        <w:rPr/>
        <w:t xml:space="preserve">8</w:t>
      </w:r>
    </w:p>
    <w:p>
      <w:pPr>
        <w:pStyle w:val="ListBullet"/>
        <w:numPr>
          <w:ilvl w:val="0"/>
          <w:numId w:val="35"/>
        </w:numPr>
        <w:spacing/>
        <w:rPr/>
      </w:pPr>
      <w:r>
        <w:rPr/>
        <w:t xml:space="preserve">There are hearing loops</w:t>
      </w:r>
    </w:p>
    <w:p>
      <w:pPr>
        <w:pStyle w:val="ListBullet"/>
        <w:numPr>
          <w:ilvl w:val="0"/>
          <w:numId w:val="35"/>
        </w:numPr>
        <w:spacing/>
        <w:rPr/>
      </w:pPr>
      <w:r>
        <w:rPr/>
        <w:t xml:space="preserve">Audio visual displays are sub titles</w:t>
      </w:r>
    </w:p>
    <w:p>
      <w:pPr>
        <w:spacing/>
        <w:rPr/>
      </w:pPr>
      <w:r>
        <w:rPr/>
        <w:t xml:space="preserve"> </w:t>
      </w:r>
    </w:p>
    <w:p>
      <w:pPr>
        <w:pStyle w:val="Heading2"/>
        <w:spacing/>
        <w:rPr/>
      </w:pPr>
      <w:bookmarkStart w:id="26" w:name="_Toc0000000022"/>
      <w:r>
        <w:rPr/>
        <w:t xml:space="preserve">Route Planning</w:t>
      </w:r>
      <w:bookmarkEnd w:id="26"/>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There is an accessible toilet on-board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 460mm above the floor</w:t>
      </w:r>
    </w:p>
    <w:p>
      <w:pPr>
        <w:pStyle w:val="Subtitle"/>
        <w:spacing/>
        <w:rPr/>
      </w:pPr>
      <w:r>
        <w:rPr/>
        <w:t xml:space="preserve">Accessible Toilet Image(s)</w:t>
      </w:r>
    </w:p>
    <w:p>
      <w:pPr>
        <w:spacing/>
        <w:rPr/>
      </w:pPr>
      <w:r>
        <w:rPr/>
        <w:drawing>
          <wp:inline>
            <wp:extent cx="2540000" cy="16383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38300"/>
                    </a:xfrm>
                    <a:prstGeom prst="rect">
                      <a:avLst/>
                    </a:prstGeom>
                  </pic:spPr>
                </pic:pic>
              </a:graphicData>
            </a:graphic>
          </wp:inline>
        </w:drawing>
      </w:r>
    </w:p>
    <w:p>
      <w:pPr>
        <w:spacing/>
        <w:rPr/>
      </w:pPr>
      <w:r>
        <w:rPr/>
        <w:t xml:space="preserve">Accessible-Toilets</w:t>
      </w:r>
    </w:p>
    <w:p>
      <w:pPr>
        <w:pStyle w:val="ListBullet"/>
        <w:numPr>
          <w:ilvl w:val="0"/>
          <w:numId w:val="35"/>
        </w:numPr>
        <w:spacing/>
        <w:rPr/>
      </w:pPr>
      <w:r>
        <w:rPr/>
        <w:t xml:space="preserve">A facility with an adult change table</w:t>
      </w:r>
    </w:p>
    <w:p>
      <w:pPr>
        <w:pStyle w:val="Subtitle"/>
        <w:spacing/>
        <w:rPr/>
      </w:pPr>
      <w:r>
        <w:rPr/>
        <w:t xml:space="preserve">Adult Change Table Image(s)</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Accessible-Toilets</w:t>
      </w:r>
    </w:p>
    <w:p>
      <w:pPr>
        <w:pStyle w:val="ListBullet"/>
        <w:numPr>
          <w:ilvl w:val="0"/>
          <w:numId w:val="35"/>
        </w:numPr>
        <w:spacing/>
        <w:rPr/>
      </w:pPr>
      <w:r>
        <w:rPr/>
        <w:t xml:space="preserve">Lunch stop venues are accessible</w:t>
      </w:r>
    </w:p>
    <w:p>
      <w:pPr>
        <w:spacing/>
        <w:rPr/>
      </w:pPr>
      <w:r>
        <w:rPr/>
        <w:t xml:space="preserve"> </w:t>
      </w:r>
    </w:p>
    <w:p>
      <w:pPr>
        <w:pStyle w:val="Heading2"/>
        <w:spacing/>
        <w:rPr/>
      </w:pPr>
      <w:bookmarkStart w:id="27" w:name="_Toc0000000023"/>
      <w:r>
        <w:rPr/>
        <w:t xml:space="preserve">Guides</w:t>
      </w:r>
      <w:bookmarkEnd w:id="27"/>
    </w:p>
    <w:p>
      <w:pPr>
        <w:pStyle w:val="ListBullet"/>
        <w:numPr>
          <w:ilvl w:val="0"/>
          <w:numId w:val="35"/>
        </w:numPr>
        <w:spacing/>
        <w:rPr/>
      </w:pPr>
      <w:r>
        <w:rPr/>
        <w:t xml:space="preserve">AUSLAN</w:t>
      </w:r>
    </w:p>
    <w:p>
      <w:pPr>
        <w:pStyle w:val="ListBullet"/>
        <w:numPr>
          <w:ilvl w:val="0"/>
          <w:numId w:val="35"/>
        </w:numPr>
        <w:spacing/>
        <w:rPr/>
      </w:pPr>
      <w:r>
        <w:rPr/>
        <w:t xml:space="preserve">Use of clear/simple English</w:t>
      </w:r>
    </w:p>
    <w:p>
      <w:pPr>
        <w:pStyle w:val="ListBullet"/>
        <w:numPr>
          <w:ilvl w:val="0"/>
          <w:numId w:val="35"/>
        </w:numPr>
        <w:spacing/>
        <w:rPr/>
      </w:pPr>
      <w:r>
        <w:rPr/>
        <w:t xml:space="preserve">Marine</w:t>
      </w:r>
    </w:p>
    <w:p>
      <w:pPr>
        <w:pStyle w:val="ListBullet"/>
        <w:numPr>
          <w:ilvl w:val="0"/>
          <w:numId w:val="35"/>
        </w:numPr>
        <w:spacing/>
        <w:rPr/>
      </w:pPr>
      <w:r>
        <w:rPr/>
        <w:t xml:space="preserve">Marine craft are wheelchair accessible</w:t>
      </w:r>
    </w:p>
    <w:p>
      <w:pPr>
        <w:pStyle w:val="ListBullet"/>
        <w:numPr>
          <w:ilvl w:val="0"/>
          <w:numId w:val="35"/>
        </w:numPr>
        <w:spacing/>
        <w:rPr/>
      </w:pPr>
      <w:r>
        <w:rPr/>
        <w:t xml:space="preserve">Length (cm) 120 cm .</w:t>
      </w:r>
    </w:p>
    <w:p>
      <w:pPr>
        <w:pStyle w:val="ListBullet"/>
        <w:numPr>
          <w:ilvl w:val="0"/>
          <w:numId w:val="35"/>
        </w:numPr>
        <w:spacing/>
        <w:rPr/>
      </w:pPr>
      <w:r>
        <w:rPr/>
        <w:t xml:space="preserve">Width (cm) 70 cm.</w:t>
      </w:r>
    </w:p>
    <w:p>
      <w:pPr>
        <w:pStyle w:val="ListBullet"/>
        <w:numPr>
          <w:ilvl w:val="0"/>
          <w:numId w:val="35"/>
        </w:numPr>
        <w:spacing/>
        <w:rPr/>
      </w:pPr>
      <w:r>
        <w:rPr/>
        <w:t xml:space="preserve">Height (cm) 90 cm.</w:t>
      </w:r>
    </w:p>
    <w:p>
      <w:pPr>
        <w:pStyle w:val="ListBullet"/>
        <w:numPr>
          <w:ilvl w:val="0"/>
          <w:numId w:val="35"/>
        </w:numPr>
        <w:spacing/>
        <w:rPr/>
      </w:pPr>
      <w:r>
        <w:rPr/>
        <w:t xml:space="preserve">Weight (kg) Between 100 kg and 140 kg.</w:t>
      </w:r>
    </w:p>
    <w:p>
      <w:pPr>
        <w:pStyle w:val="Subtitle"/>
        <w:spacing/>
        <w:rPr/>
      </w:pPr>
      <w:r>
        <w:rPr/>
        <w:t xml:space="preserve">Image(s)</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PXL_20210113_030434955</w:t>
      </w:r>
    </w:p>
    <w:p>
      <w:pPr>
        <w:spacing/>
        <w:rPr/>
      </w:pPr>
      <w:r>
        <w:rPr/>
        <w:drawing>
          <wp:inline>
            <wp:extent cx="2540000" cy="1905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pPr>
      <w:r>
        <w:rPr/>
        <w:t xml:space="preserve">PXL_20210121_025909964</w:t>
      </w:r>
    </w:p>
    <w:p>
      <w:pPr>
        <w:pStyle w:val="Heading1"/>
        <w:spacing/>
        <w:rPr/>
      </w:pPr>
      <w:bookmarkStart w:id="28" w:name="_Toc0000000024"/>
      <w:r>
        <w:rPr/>
        <w:t xml:space="preserve">ATTRACTIONS</w:t>
      </w:r>
      <w:bookmarkEnd w:id="28"/>
    </w:p>
    <w:p>
      <w:pPr>
        <w:spacing/>
        <w:rPr/>
      </w:pPr>
      <w:r>
        <w:rPr/>
        <w:t xml:space="preserve"> </w:t>
      </w:r>
    </w:p>
    <w:p>
      <w:pPr>
        <w:pStyle w:val="Heading2"/>
        <w:spacing/>
        <w:rPr/>
      </w:pPr>
      <w:bookmarkStart w:id="29" w:name="_Toc0000000025"/>
      <w:r>
        <w:rPr/>
        <w:t xml:space="preserve">Attractions Basics</w:t>
      </w:r>
      <w:bookmarkEnd w:id="29"/>
    </w:p>
    <w:p>
      <w:pPr>
        <w:pStyle w:val="ListBullet"/>
        <w:numPr>
          <w:ilvl w:val="0"/>
          <w:numId w:val="35"/>
        </w:numPr>
        <w:spacing/>
        <w:rPr/>
      </w:pPr>
      <w:r>
        <w:rPr/>
        <w:t xml:space="preserve">A park map is available here:</w:t>
      </w:r>
    </w:p>
    <w:p>
      <w:pPr>
        <w:spacing/>
        <w:rPr/>
      </w:pPr>
    </w:p>
    <w:p>
      <w:pPr>
        <w:pBdr/>
        <w:spacing/>
        <w:rPr/>
      </w:pPr>
      <w:r>
        <w:rPr/>
        <w:t xml:space="preserve">https://www.portphillipferries.com.au/locations/</w:t>
      </w:r>
    </w:p>
    <w:p>
      <w:pPr>
        <w:pStyle w:val="Heading1"/>
        <w:spacing/>
        <w:rPr/>
      </w:pPr>
      <w:bookmarkStart w:id="30" w:name="_Toc0000000026"/>
      <w:r>
        <w:rPr/>
        <w:t xml:space="preserve">COMMON AREAS</w:t>
      </w:r>
      <w:bookmarkEnd w:id="30"/>
    </w:p>
    <w:p>
      <w:pPr>
        <w:pStyle w:val="Heading1"/>
        <w:spacing/>
        <w:rPr/>
      </w:pPr>
      <w:bookmarkStart w:id="31" w:name="_Toc0000000027"/>
      <w:r>
        <w:rPr/>
        <w:t xml:space="preserve">ADVENTURE ACTIVITIES</w:t>
      </w:r>
      <w:bookmarkEnd w:id="31"/>
    </w:p>
    <w:p>
      <w:pPr>
        <w:pStyle w:val="ListBullet"/>
        <w:numPr>
          <w:ilvl w:val="0"/>
          <w:numId w:val="35"/>
        </w:numPr>
        <w:spacing/>
        <w:rPr/>
      </w:pPr>
      <w:r>
        <w:rPr/>
        <w:t xml:space="preserve">In addition, the following further information can assist guests:</w:t>
      </w:r>
    </w:p>
    <w:p>
      <w:pPr>
        <w:spacing/>
        <w:rPr/>
      </w:pPr>
      <w:r>
        <w:rPr/>
        <w:t xml:space="preserve">Winery tours and lunch packages</w:t>
      </w:r>
    </w:p>
    <w:p>
      <w:pPr>
        <w:pStyle w:val="ListBullet"/>
        <w:numPr>
          <w:ilvl w:val="0"/>
          <w:numId w:val="35"/>
        </w:numPr>
        <w:spacing/>
        <w:rPr/>
      </w:pPr>
      <w:r>
        <w:rPr/>
        <w:t xml:space="preserve">In addition, the following further information can assist guests:</w:t>
      </w:r>
    </w:p>
    <w:p>
      <w:pPr>
        <w:spacing/>
        <w:rPr/>
      </w:pPr>
      <w:r>
        <w:rPr/>
        <w:t xml:space="preserve">Wheelchair accessible transport</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No real limitation as we ttry and make these tours as accessible as possible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2" w:name="_Toc0000000028"/>
      <w:r>
        <w:rPr/>
        <w:t xml:space="preserve">Report Disclaimer</w:t>
      </w:r>
      <w:bookmarkEnd w:id="3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92D42B8"/>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1" Type="http://schemas.openxmlformats.org/officeDocument/2006/relationships/styles" Target="styles.xml" /><Relationship Id="rId12" Type="http://schemas.openxmlformats.org/officeDocument/2006/relationships/settings" Target="settings.xml" /><Relationship Id="rId13" Type="http://schemas.openxmlformats.org/officeDocument/2006/relationships/theme" Target="theme/theme1.xml" /><Relationship Id="rId14" Type="http://schemas.openxmlformats.org/officeDocument/2006/relationships/numbering" Target="numbering.xml" /><Relationship Id="rId1" Type="http://schemas.openxmlformats.org/officeDocument/2006/relationships/footer" Target="footer1.xml" /><Relationship Id="rId15"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