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WA Museum Boola Bardip</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Perth Cultural Centre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Jane Jones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1300 134 081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reception@museum.wa.gov.au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www.museum.wa.gov.au/boolabardip</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2026-07-24 10:08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Lifts</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_Toc0000000015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Steps</w:t>
          </w:r>
          <w:r>
            <w:rPr/>
            <w:tab/>
            <w:t xml:space="preserve"/>
          </w:r>
          <w:r>
            <w:rPr/>
            <w:fldChar w:fldCharType="begin"/>
          </w:r>
          <w:r>
            <w:rPr/>
            <w:instrText xml:space="preserve">PAGEREF _Toc0000000018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_Toc0000000020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 Basics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22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647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647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p>
    <w:p>
      <w:pPr>
        <w:pBdr/>
        <w:spacing/>
        <w:rPr/>
      </w:pPr>
      <w:r>
        <w:rPr/>
        <w:t xml:space="preserve">Please note the Emergency references how staff support people with a disability in the event of an Emergency and the Museum has Fire Warden and Chief trained staff and they are trained to manage emergency evacuation when it occurs and use the EWIS (Emergency Warning Intercom System) and also in person that provides instructions in the event of an emergency. As the museum sees about 500, 000 a year it is not practical or appropriate to brief every person on arrival but communication is planned and includes people of all abilities.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https://visit.museum.wa.gov.au/boolabardip/everyone-included</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pStyle w:val="ListBullet"/>
        <w:numPr>
          <w:ilvl w:val="0"/>
          <w:numId w:val="35"/>
        </w:numPr>
        <w:spacing/>
        <w:rPr/>
      </w:pPr>
      <w:r>
        <w:rPr/>
        <w:t xml:space="preserve">Braille Displays</w:t>
      </w:r>
    </w:p>
    <w:p>
      <w:pPr>
        <w:pStyle w:val="ListBullet"/>
        <w:numPr>
          <w:ilvl w:val="0"/>
          <w:numId w:val="35"/>
        </w:numPr>
        <w:spacing/>
        <w:rPr/>
      </w:pPr>
      <w:r>
        <w:rPr/>
        <w:t xml:space="preserve">Magnifiers</w:t>
      </w:r>
    </w:p>
    <w:p>
      <w:pPr>
        <w:spacing/>
        <w:rPr/>
      </w:pPr>
    </w:p>
    <w:p>
      <w:pPr>
        <w:pBdr/>
        <w:spacing/>
        <w:rPr/>
      </w:pPr>
      <w:r>
        <w:rPr/>
        <w:t xml:space="preserve">Colour blind accessibility (Kids and Adults), Sensory Back Packs, Sensory Maps,  Living with Dementia programs, bespoke disability programs, eg quiet mornings and sensory sessions, Museum visual stories, Braille exhibition guides, AUSLAN video resources as part of the museum digital platform.  All front of house staff wear hidden disabilities pins to ensure visitors can approach staff with the knowledge that staff understand hidden disabilities and some staff who identify with a hidden disability can chose to wear a pin that communicates this message to visitors as an opportunity for a welcoming and accessible museum</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spacing/>
        <w:rPr/>
      </w:pPr>
    </w:p>
    <w:p>
      <w:pPr>
        <w:pBdr/>
        <w:spacing/>
        <w:rPr/>
      </w:pPr>
      <w:r>
        <w:rPr/>
        <w:t xml:space="preserve">Tactile Braille Maps for galleries, Sensory Maps of the Gallery and Sensory Maps for special exhibitions,  (Developed with Autism WA) Visual Supports for all 8 permanent galleries, Visual support galleries, visual story adult and visual story children museum, some AUSLAN videos for interpretive content on the Museum gallery interpretive device.  </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Aware of the need to support those who have assistance dogs including making provisions for them for water and bedding and areas for shade and rest areas.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spacing/>
        <w:rPr/>
      </w:pPr>
    </w:p>
    <w:p>
      <w:pPr>
        <w:pBdr/>
        <w:spacing/>
        <w:rPr/>
      </w:pPr>
      <w:r>
        <w:rPr/>
        <w:t xml:space="preserve">Rather than clip boards but the VSO's most often use scanners and mobile ticketing devices to support people who want to purchase tickets or have them scanned to enter the museum.</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facility map and information is available in Braille</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QR codes for online ticketing and ticket scanners reduce waiting in lines and our front of house staff are trained to support assist vistors to streamline ticket purchasing &amp;nbsp;onsite and to pick up on visitor comfort requirements and provide access to front of house seating or seating in the gallery. There are also walking sticks and wheelchairs to assist people to move around the museum and to manage the lines.</w:t>
      </w:r>
    </w:p>
    <w:p>
      <w:pPr>
        <w:pStyle w:val="ListBullet"/>
        <w:numPr>
          <w:ilvl w:val="0"/>
          <w:numId w:val="35"/>
        </w:numPr>
        <w:spacing/>
        <w:rPr/>
      </w:pPr>
      <w:r>
        <w:rPr/>
        <w:t xml:space="preserve">In addition, the following further information can assist guests:</w:t>
      </w:r>
    </w:p>
    <w:p>
      <w:pPr>
        <w:spacing/>
        <w:rPr/>
      </w:pPr>
      <w:r>
        <w:rPr/>
        <w:t xml:space="preserve">The museum has a way finding digital product Mappedin this is available through kiosks onsite and available on the museum membership app and there is also QR code at the kiosk point that visitors can scan to provide their chosen routes through the museum on their own phones. &amp;nbsp;The digital wayfinding system provides alternative routes for visitors who wish to select the most accessible route around the building. The Mappedin system also highlights lifts and stairs, UAT's, and general toilets, seating, water fountains, prayer room, cloakroom, baby changing facilities, feeding room and privacy pods, &amp;nbsp;</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"social script" guide to your premises or attraction describing the sights, sounds and smells to aid parents/carers prepare visitors in advance</w:t>
      </w:r>
    </w:p>
    <w:p>
      <w:pPr>
        <w:pStyle w:val="ListBullet"/>
        <w:numPr>
          <w:ilvl w:val="0"/>
          <w:numId w:val="35"/>
        </w:numPr>
        <w:spacing/>
        <w:rPr/>
      </w:pPr>
      <w:r>
        <w:rPr/>
        <w:t xml:space="preserve">The 'social script' is available in word and other editable formats</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pStyle w:val="ListBullet"/>
        <w:numPr>
          <w:ilvl w:val="0"/>
          <w:numId w:val="35"/>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public transport services available are:</w:t>
      </w:r>
    </w:p>
    <w:p>
      <w:pPr>
        <w:spacing/>
        <w:rPr/>
      </w:pPr>
    </w:p>
    <w:p>
      <w:pPr>
        <w:pBdr/>
        <w:spacing/>
        <w:rPr/>
      </w:pPr>
      <w:r>
        <w:rPr/>
        <w:t xml:space="preserve">How to get there </w:t>
      </w:r>
    </w:p>
    <w:p>
      <w:pPr>
        <w:pStyle w:val="ListBullet"/>
        <w:numPr>
          <w:ilvl w:val="0"/>
          <w:numId w:val="35"/>
        </w:numPr>
        <w:spacing/>
        <w:rPr/>
      </w:pPr>
      <w:r>
        <w:rPr/>
        <w:t xml:space="preserve">In addition, the following further information can assist guests:</w:t>
      </w:r>
    </w:p>
    <w:p>
      <w:pPr>
        <w:spacing/>
        <w:rPr/>
      </w:pPr>
      <w:r>
        <w:rPr/>
        <w:t xml:space="preserve">Acrod parking is available in Francis Street and in City of Perth carpark overflow disability parking is also accommodated in the museum loading bay.&amp;nbsp;&amp;nbsp;</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pStyle w:val="ListBullet"/>
        <w:numPr>
          <w:ilvl w:val="0"/>
          <w:numId w:val="35"/>
        </w:numPr>
        <w:spacing/>
        <w:rPr/>
      </w:pPr>
      <w:r>
        <w:rPr/>
        <w:t xml:space="preserve">In addition, the following further information can assist guests:</w:t>
      </w:r>
    </w:p>
    <w:p>
      <w:pPr>
        <w:spacing/>
        <w:rPr/>
      </w:pPr>
      <w:r>
        <w:rPr/>
        <w:t xml:space="preserve">All doors are self opening or push to release they are all level and there are welcoming staff and volunteers stationed at the entrance to assist and welcome guests. &amp;nbsp;All entrances and exists are consistently monitored with CCTV footage and all mats are recessed and the floor spaces are constantly monitored for cleaning and routinely slip tested.</w:t>
      </w:r>
    </w:p>
    <w:p>
      <w:pPr>
        <w:spacing/>
        <w:rPr/>
      </w:pPr>
      <w:r>
        <w:rPr/>
        <w:t xml:space="preserve"> </w:t>
      </w:r>
    </w:p>
    <w:p>
      <w:pPr>
        <w:pStyle w:val="Heading2"/>
        <w:spacing/>
        <w:rPr/>
      </w:pPr>
      <w:bookmarkStart w:id="17" w:name="_Toc0000000013"/>
      <w:r>
        <w:rPr/>
        <w:t xml:space="preserve">Lifts</w:t>
      </w:r>
      <w:bookmarkEnd w:id="17"/>
    </w:p>
    <w:p>
      <w:pPr>
        <w:pStyle w:val="ListBullet"/>
        <w:numPr>
          <w:ilvl w:val="0"/>
          <w:numId w:val="35"/>
        </w:numPr>
        <w:spacing/>
        <w:rPr/>
      </w:pPr>
      <w:r>
        <w:rPr/>
        <w:t xml:space="preserve">Premises has lifts</w:t>
      </w:r>
    </w:p>
    <w:p>
      <w:pPr>
        <w:pStyle w:val="ListBullet"/>
        <w:numPr>
          <w:ilvl w:val="0"/>
          <w:numId w:val="35"/>
        </w:numPr>
        <w:spacing/>
        <w:rPr/>
      </w:pPr>
      <w:r>
        <w:rPr/>
        <w:t xml:space="preserve">Lift location: 10 lifts across the site . Has visual floor indicator; Has breakdown procedure for guest who are hearing impaired</w:t>
      </w:r>
    </w:p>
    <w:p>
      <w:pPr>
        <w:pStyle w:val="ListBullet"/>
        <w:numPr>
          <w:ilvl w:val="0"/>
          <w:numId w:val="35"/>
        </w:numPr>
        <w:spacing/>
        <w:rPr/>
      </w:pPr>
      <w:r>
        <w:rPr/>
        <w:t xml:space="preserve">In addition, the following further information can assist guests:</w:t>
      </w:r>
    </w:p>
    <w:p>
      <w:pPr>
        <w:spacing/>
        <w:rPr/>
      </w:pPr>
      <w:r>
        <w:rPr/>
        <w:t xml:space="preserve">Lifts are included on all maps, lift's have an emergency call button that lights up is monitored by the Lift company this has Braille instructions and an alternative phone number that is monitored internally by the museum's mobile security guard. &amp;nbsp;As a note the museum uses the visual storyboards for neurodiverse and cognitive impaired guests and these form the basis of social scripts.&amp;nbsp;</w:t>
      </w:r>
    </w:p>
    <w:p>
      <w:pPr>
        <w:spacing/>
        <w:rPr/>
      </w:pPr>
      <w:r>
        <w:rPr/>
        <w:t xml:space="preserve"> </w:t>
      </w:r>
    </w:p>
    <w:p>
      <w:pPr>
        <w:pStyle w:val="Heading2"/>
        <w:spacing/>
        <w:rPr/>
      </w:pPr>
      <w:bookmarkStart w:id="18" w:name="_Toc0000000014"/>
      <w:r>
        <w:rPr/>
        <w:t xml:space="preserve">Internal Spaces</w:t>
      </w:r>
      <w:bookmarkEnd w:id="18"/>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Internal areas have rest chairs have arm and at regular heights and colour coded to assist wayfinding. Prayer room, cloack room, sick bay parenting and change rooms and 4 wheelchairs, walking sticks.</w:t>
      </w:r>
    </w:p>
    <w:p>
      <w:pPr>
        <w:spacing/>
        <w:rPr/>
      </w:pPr>
      <w:r>
        <w:rPr/>
        <w:t xml:space="preserve"> </w:t>
      </w:r>
    </w:p>
    <w:p>
      <w:pPr>
        <w:pStyle w:val="Heading2"/>
        <w:spacing/>
        <w:rPr/>
      </w:pPr>
      <w:bookmarkStart w:id="19" w:name="_Toc0000000015"/>
      <w:r>
        <w:rPr/>
        <w:t xml:space="preserve">Public areas</w:t>
      </w:r>
      <w:bookmarkEnd w:id="19"/>
    </w:p>
    <w:p>
      <w:pPr>
        <w:spacing/>
        <w:rPr/>
      </w:pPr>
      <w:r>
        <w:rPr/>
        <w:t xml:space="preserve">The public areas have the following amenities  in place</w:t>
      </w:r>
    </w:p>
    <w:p>
      <w:pPr>
        <w:pStyle w:val="ListBullet"/>
        <w:numPr>
          <w:ilvl w:val="0"/>
          <w:numId w:val="35"/>
        </w:numPr>
        <w:spacing/>
        <w:rPr/>
      </w:pPr>
      <w:r>
        <w:rPr/>
        <w:t xml:space="preserve">Display units, Televisions, Video displays etc. are  open captioned</w:t>
      </w:r>
    </w:p>
    <w:p>
      <w:pPr>
        <w:pStyle w:val="ListBullet"/>
        <w:numPr>
          <w:ilvl w:val="0"/>
          <w:numId w:val="35"/>
        </w:numPr>
        <w:spacing/>
        <w:rPr/>
      </w:pPr>
      <w:r>
        <w:rPr/>
        <w:t xml:space="preserve">Hearing loops</w:t>
      </w:r>
    </w:p>
    <w:p>
      <w:pPr>
        <w:pStyle w:val="ListBullet"/>
        <w:numPr>
          <w:ilvl w:val="0"/>
          <w:numId w:val="35"/>
        </w:numPr>
        <w:spacing/>
        <w:rPr/>
      </w:pPr>
      <w:r>
        <w:rPr/>
        <w:t xml:space="preserve">Hearing loop symbols are displayed</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20" w:name="_Toc0000000016"/>
      <w:r>
        <w:rPr/>
        <w:t xml:space="preserve">Displays, exhibits, commentary and live performances</w:t>
      </w:r>
      <w:bookmarkEnd w:id="20"/>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pStyle w:val="ListBullet"/>
        <w:numPr>
          <w:ilvl w:val="0"/>
          <w:numId w:val="35"/>
        </w:numPr>
        <w:spacing/>
        <w:rPr/>
      </w:pPr>
      <w:r>
        <w:rPr/>
        <w:t xml:space="preserve">A written transcript where audio description is provided i.e. display commentary, tour commentary</w:t>
      </w:r>
    </w:p>
    <w:p>
      <w:pPr>
        <w:pStyle w:val="ListBullet"/>
        <w:numPr>
          <w:ilvl w:val="0"/>
          <w:numId w:val="35"/>
        </w:numPr>
        <w:spacing/>
        <w:rPr/>
      </w:pPr>
      <w:r>
        <w:rPr/>
        <w:t xml:space="preserve">Hearting loops for live shows and presentations</w:t>
      </w:r>
    </w:p>
    <w:p>
      <w:pPr>
        <w:pStyle w:val="ListBullet"/>
        <w:numPr>
          <w:ilvl w:val="0"/>
          <w:numId w:val="35"/>
        </w:numPr>
        <w:spacing/>
        <w:rPr/>
      </w:pPr>
      <w:r>
        <w:rPr/>
        <w:t xml:space="preserve">In addition, the following further information can assist guests:</w:t>
      </w:r>
    </w:p>
    <w:p>
      <w:pPr>
        <w:spacing/>
        <w:rPr/>
      </w:pPr>
      <w:r>
        <w:rPr/>
        <w:t xml:space="preserve">Note the hearing loop is available in the museum's learning studios&amp;nbsp;</w:t>
      </w:r>
    </w:p>
    <w:p>
      <w:pPr>
        <w:spacing/>
        <w:rPr/>
      </w:pPr>
      <w:r>
        <w:rPr/>
        <w:t xml:space="preserve"> </w:t>
      </w:r>
    </w:p>
    <w:p>
      <w:pPr>
        <w:pStyle w:val="Heading2"/>
        <w:spacing/>
        <w:rPr/>
      </w:pPr>
      <w:bookmarkStart w:id="21" w:name="_Toc0000000017"/>
      <w:r>
        <w:rPr/>
        <w:t xml:space="preserve">External Paths</w:t>
      </w:r>
      <w:bookmarkEnd w:id="21"/>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The museum was completeld in 2020 adhering to all complinance requirements ensuring accessible egress.</w:t>
      </w:r>
    </w:p>
    <w:p>
      <w:pPr>
        <w:spacing/>
        <w:rPr/>
      </w:pPr>
      <w:r>
        <w:rPr/>
        <w:t xml:space="preserve"> </w:t>
      </w:r>
    </w:p>
    <w:p>
      <w:pPr>
        <w:pStyle w:val="Heading2"/>
        <w:spacing/>
        <w:rPr/>
      </w:pPr>
      <w:bookmarkStart w:id="22" w:name="_Toc0000000018"/>
      <w:r>
        <w:rPr/>
        <w:t xml:space="preserve">Steps</w:t>
      </w:r>
      <w:bookmarkEnd w:id="22"/>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All levels have alertnative lift access if there are stairs many of the lifts are located right next to the stairs and wayfinding throughout the museum locates these to allow for guests to easily navigate alternative routes.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There are seven UAT and non UAT toilets have an ambulant area in front these all have different widths depending on the toilets but all meet compliance standards. As a note the building and external spaces were designed with raked pathways but no ram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The museum does provide guests with information about the closest registered adult changing room with hoist system, which is at the Perth Train Station complex.</w:t>
      </w:r>
    </w:p>
    <w:p>
      <w:pPr>
        <w:pStyle w:val="Heading1"/>
        <w:spacing/>
        <w:rPr/>
      </w:pPr>
      <w:bookmarkStart w:id="24" w:name="_Toc0000000020"/>
      <w:r>
        <w:rPr/>
        <w:t xml:space="preserve">ATTRACTIONS</w:t>
      </w:r>
      <w:bookmarkEnd w:id="24"/>
    </w:p>
    <w:p>
      <w:pPr>
        <w:spacing/>
        <w:rPr/>
      </w:pPr>
      <w:r>
        <w:rPr/>
        <w:t xml:space="preserve"> </w:t>
      </w:r>
    </w:p>
    <w:p>
      <w:pPr>
        <w:pStyle w:val="Heading2"/>
        <w:spacing/>
        <w:rPr/>
      </w:pPr>
      <w:bookmarkStart w:id="25" w:name="_Toc0000000021"/>
      <w:r>
        <w:rPr/>
        <w:t xml:space="preserve">Attractions Basics</w:t>
      </w:r>
      <w:bookmarkEnd w:id="25"/>
    </w:p>
    <w:p>
      <w:pPr>
        <w:pStyle w:val="ListBullet"/>
        <w:numPr>
          <w:ilvl w:val="0"/>
          <w:numId w:val="35"/>
        </w:numPr>
        <w:spacing/>
        <w:rPr/>
      </w:pPr>
      <w:r>
        <w:rPr/>
        <w:t xml:space="preserve">A park map is available here:</w:t>
      </w:r>
    </w:p>
    <w:p>
      <w:pPr>
        <w:spacing/>
        <w:rPr/>
      </w:pPr>
    </w:p>
    <w:p>
      <w:pPr>
        <w:pBdr/>
        <w:spacing/>
        <w:rPr/>
      </w:pPr>
      <w:r>
        <w:rPr/>
        <w:t xml:space="preserve">https://visit.museum.wa.gov.au/sites/default/files/2020-11/WAMBB_SiteMap_2020_FINAL.pdf</w:t>
      </w:r>
    </w:p>
    <w:p>
      <w:pPr>
        <w:pStyle w:val="Subtitle"/>
        <w:spacing/>
        <w:rPr/>
      </w:pPr>
      <w:r>
        <w:rPr/>
        <w:t xml:space="preserve">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DisabledParkingBay.JPG</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Main Entrance.JPG</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TicketCounter.JPG</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AccessibleSeatingDisplayareas3.JPG</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AccessibleSeatingDisplayAreas.JPG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AccessibleToilet1.JPG</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AccessibleToilet2.JPG</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GiftShop1.JPG</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pPr>
      <w:r>
        <w:rPr/>
        <w:t xml:space="preserve">GiftShop2.JPG</w:t>
      </w:r>
    </w:p>
    <w:p>
      <w:pPr>
        <w:spacing/>
        <w:rPr/>
      </w:pPr>
      <w:r>
        <w:rPr/>
        <w:drawing>
          <wp:inline>
            <wp:extent cx="2540000" cy="1905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905000"/>
                    </a:xfrm>
                    <a:prstGeom prst="rect">
                      <a:avLst/>
                    </a:prstGeom>
                  </pic:spPr>
                </pic:pic>
              </a:graphicData>
            </a:graphic>
          </wp:inline>
        </w:drawing>
      </w:r>
    </w:p>
    <w:p>
      <w:pPr>
        <w:spacing/>
        <w:rPr/>
      </w:pPr>
      <w:r>
        <w:rPr/>
        <w:t xml:space="preserve">GiftShop3.JPG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BrailleSignage.JPG</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pStyle w:val="ListBullet"/>
        <w:numPr>
          <w:ilvl w:val="0"/>
          <w:numId w:val="35"/>
        </w:numPr>
        <w:spacing/>
        <w:rPr/>
      </w:pPr>
      <w:r>
        <w:rPr/>
        <w:t xml:space="preserve">In addition, the following further information can assist guests:</w:t>
      </w:r>
    </w:p>
    <w:p>
      <w:pPr>
        <w:spacing/>
        <w:rPr/>
      </w:pPr>
      <w:r>
        <w:rPr/>
        <w:t xml:space="preserve">The museum is a cultural heritage attraction with exhibits, events workshops and programs. &amp;nbsp;The Western Australian Museum has a Disability Action Plan has been developed on the basis that people with disability, their families, and carers have the same rights to access our services as any member of the community. It has been prepared following a thorough review of the WA Museum Disability Action and Inclusion Plan 2018–22, and extensive consultation with both internal and external stakeholders. The DAIP aligns with the A Western Australia for Everyone: State Disability Strategy 2020–30, and the key values and strategic pillars of the Western Australian Museum Strategic Plan 2022–26. The Museum seeks, continuously, to improve access to its services, content, buildings, facilities, employment opportunities and information.</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The Museum cafe caters for most dietary requirements accommodated within the one exisiting kitchen facilities this includes procedures for separating raw and cooked food, separate fryers (3) and seperate food preparation areas as well as careful management of utensils. Ordering from local organic suppliers and a register of food deliveries assist in understand use by dates. &amp;nbsp;Food temperatures are constantly monitored and the cafe has a dedicated hand cleaning sink along with commercial grade cleaning equipment and products and a cleaning and sanitizing regime and staff are appropriately trained qualified to manage the safe handling of food. &amp;nbsp;Kosher is the only process that cannot be accommodated as two kitches are mandatory.</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https://www.perthculturalcentre.com.au/food-beverage/epoch-cafe/</w:t>
      </w:r>
    </w:p>
    <w:p>
      <w:pPr>
        <w:pStyle w:val="Subtitle"/>
        <w:spacing/>
        <w:rPr/>
      </w:pPr>
      <w:r>
        <w:rPr/>
        <w:t xml:space="preserve">Food and Beverage Image(s)</w:t>
      </w:r>
    </w:p>
    <w:p>
      <w:pPr>
        <w:spacing/>
        <w:rPr/>
      </w:pPr>
      <w:r>
        <w:rPr/>
        <w:drawing>
          <wp:inline>
            <wp:extent cx="2540000" cy="1905000"/>
            <wp:docPr id="16"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Cafe Counter wheel chair access</w:t>
      </w:r>
    </w:p>
    <w:p>
      <w:pPr>
        <w:spacing/>
        <w:rPr/>
      </w:pPr>
      <w:r>
        <w:rPr/>
        <w:drawing>
          <wp:inline>
            <wp:extent cx="2540000" cy="1905000"/>
            <wp:docPr id="17"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2540000" cy="1905000"/>
                    </a:xfrm>
                    <a:prstGeom prst="rect">
                      <a:avLst/>
                    </a:prstGeom>
                  </pic:spPr>
                </pic:pic>
              </a:graphicData>
            </a:graphic>
          </wp:inline>
        </w:drawing>
      </w:r>
    </w:p>
    <w:p>
      <w:pPr>
        <w:spacing/>
        <w:rPr/>
      </w:pPr>
      <w:r>
        <w:rPr/>
        <w:t xml:space="preserve">Cafe Entrance</w:t>
      </w:r>
    </w:p>
    <w:p>
      <w:pPr>
        <w:spacing/>
        <w:rPr/>
      </w:pPr>
      <w:r>
        <w:rPr/>
        <w:drawing>
          <wp:inline>
            <wp:extent cx="2540000" cy="1905000"/>
            <wp:docPr id="18"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2540000" cy="1905000"/>
                    </a:xfrm>
                    <a:prstGeom prst="rect">
                      <a:avLst/>
                    </a:prstGeom>
                  </pic:spPr>
                </pic:pic>
              </a:graphicData>
            </a:graphic>
          </wp:inline>
        </w:drawing>
      </w:r>
    </w:p>
    <w:p>
      <w:pPr>
        <w:spacing/>
        <w:rPr/>
      </w:pPr>
      <w:r>
        <w:rPr/>
        <w:t xml:space="preserve">Cafe alfresco area</w:t>
      </w:r>
    </w:p>
    <w:p>
      <w:pPr>
        <w:spacing/>
        <w:rPr/>
      </w:pPr>
      <w:r>
        <w:rPr/>
        <w:drawing>
          <wp:inline>
            <wp:extent cx="2540000" cy="1905000"/>
            <wp:docPr id="19"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2540000" cy="1905000"/>
                    </a:xfrm>
                    <a:prstGeom prst="rect">
                      <a:avLst/>
                    </a:prstGeom>
                  </pic:spPr>
                </pic:pic>
              </a:graphicData>
            </a:graphic>
          </wp:inline>
        </w:drawing>
      </w:r>
    </w:p>
    <w:p>
      <w:pPr>
        <w:spacing/>
        <w:rPr/>
      </w:pPr>
      <w:r>
        <w:rPr/>
        <w:t xml:space="preserve">Cafe Servery area</w:t>
      </w:r>
    </w:p>
    <w:p>
      <w:pPr>
        <w:spacing/>
        <w:rPr/>
      </w:pPr>
      <w:r>
        <w:rPr/>
        <w:drawing>
          <wp:inline>
            <wp:extent cx="2540000" cy="1905000"/>
            <wp:docPr id="20"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Cafe dining room</w:t>
      </w:r>
    </w:p>
    <w:p>
      <w:pPr>
        <w:spacing/>
        <w:rPr/>
      </w:pPr>
      <w:r>
        <w:rPr/>
        <w:drawing>
          <wp:inline>
            <wp:extent cx="2540000" cy="1905000"/>
            <wp:docPr id="21"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2540000" cy="1905000"/>
                    </a:xfrm>
                    <a:prstGeom prst="rect">
                      <a:avLst/>
                    </a:prstGeom>
                  </pic:spPr>
                </pic:pic>
              </a:graphicData>
            </a:graphic>
          </wp:inline>
        </w:drawing>
      </w:r>
    </w:p>
    <w:p>
      <w:pPr>
        <w:spacing/>
        <w:rPr/>
      </w:pPr>
      <w:r>
        <w:rPr/>
        <w:t xml:space="preserve">Disability and Pram Lift to the cafe</w:t>
      </w:r>
    </w:p>
    <w:p>
      <w:pPr>
        <w:pStyle w:val="ListBullet"/>
        <w:numPr>
          <w:ilvl w:val="0"/>
          <w:numId w:val="35"/>
        </w:numPr>
        <w:spacing/>
        <w:rPr/>
      </w:pPr>
      <w:r>
        <w:rPr/>
        <w:t xml:space="preserve">In addition, the following further information can assist guests:</w:t>
      </w:r>
    </w:p>
    <w:p>
      <w:pPr>
        <w:spacing/>
        <w:rPr/>
      </w:pPr>
      <w:r>
        <w:rPr/>
        <w:t xml:space="preserve">The menu is just going through a seasonal change over so the link is not cuurently active however the link will be updated when the menu has been updated. The Beaufort Street cafe entrance, which is one of three major entrances to the cafe has 4 steps an external lift was accommodated to ensure all entrances to the cafe are accessible. &amp;nbsp;</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 low height lectern is available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A hearing loop is provided</w:t>
      </w:r>
    </w:p>
    <w:p>
      <w:pPr>
        <w:pStyle w:val="ListBullet"/>
        <w:numPr>
          <w:ilvl w:val="0"/>
          <w:numId w:val="35"/>
        </w:numPr>
        <w:spacing/>
        <w:rPr/>
      </w:pPr>
      <w:r>
        <w:rPr/>
        <w:t xml:space="preserve">There is reserved seating in the loop area</w:t>
      </w:r>
    </w:p>
    <w:p>
      <w:pPr>
        <w:pStyle w:val="ListBullet"/>
        <w:numPr>
          <w:ilvl w:val="0"/>
          <w:numId w:val="35"/>
        </w:numPr>
        <w:spacing/>
        <w:rPr/>
      </w:pPr>
      <w:r>
        <w:rPr/>
        <w:t xml:space="preserve">Speakers/performers are instructed to use the microphones</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There is an event map available</w:t>
      </w:r>
    </w:p>
    <w:p>
      <w:pPr>
        <w:pStyle w:val="ListBullet"/>
        <w:numPr>
          <w:ilvl w:val="0"/>
          <w:numId w:val="35"/>
        </w:numPr>
        <w:spacing/>
        <w:rPr/>
      </w:pPr>
      <w:r>
        <w:rPr/>
        <w:t xml:space="preserve">The event map shows accessible facilities</w:t>
      </w:r>
    </w:p>
    <w:p>
      <w:pPr>
        <w:pStyle w:val="ListBullet"/>
        <w:numPr>
          <w:ilvl w:val="0"/>
          <w:numId w:val="35"/>
        </w:numPr>
        <w:spacing/>
        <w:rPr/>
      </w:pPr>
      <w:r>
        <w:rPr/>
        <w:t xml:space="preserve">The event map shows accessible public transport points</w:t>
      </w:r>
    </w:p>
    <w:p>
      <w:pPr>
        <w:pStyle w:val="ListBullet"/>
        <w:numPr>
          <w:ilvl w:val="0"/>
          <w:numId w:val="35"/>
        </w:numPr>
        <w:spacing/>
        <w:rPr/>
      </w:pPr>
      <w:r>
        <w:rPr/>
        <w:t xml:space="preserve">A step free route is shown</w:t>
      </w:r>
    </w:p>
    <w:p>
      <w:pPr>
        <w:pStyle w:val="ListBullet"/>
        <w:numPr>
          <w:ilvl w:val="0"/>
          <w:numId w:val="35"/>
        </w:numPr>
        <w:spacing/>
        <w:rPr/>
      </w:pPr>
      <w:r>
        <w:rPr/>
        <w:t xml:space="preserve">Quiet rooms, marquees or spaces are available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museum delivers many events regularly beyond the daily exhibitions these can range from small scale events to large scale events across a number of venues within the museum and range from public talks, education workshops, live performances, tours of exhibitions screenings and major launches. &amp;nbsp;The Learning Studio's where workshops, talks and education programs are delivered daily have a hearing loop. &amp;nbsp;While the category of audio captions and descriptions has not been selected in the above survey this is because not all events utilise this facility however some events include this if there is screen content as part of an event. &amp;nbsp;AUSLAN interpreters are also organised on request and are also part of some higher profile events.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F5E52BC"/>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0" Type="http://schemas.openxmlformats.org/officeDocument/2006/relationships/styles" Target="styles.xml" /><Relationship Id="rId21" Type="http://schemas.openxmlformats.org/officeDocument/2006/relationships/settings" Target="settings.xml" /><Relationship Id="rId22" Type="http://schemas.openxmlformats.org/officeDocument/2006/relationships/theme" Target="theme/theme1.xml" /><Relationship Id="rId23" Type="http://schemas.openxmlformats.org/officeDocument/2006/relationships/numbering" Target="numbering.xml" /><Relationship Id="rId1" Type="http://schemas.openxmlformats.org/officeDocument/2006/relationships/footer" Target="footer1.xml" /><Relationship Id="rId24"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