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Ampersand Estates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9883 Vasse Highway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Peerabeelup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Corrie Scheepers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0438 954 513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info@ampersandestates.com.au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https://ampersandestates.com.au/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2026-10-24 15:04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_Toc0000000029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612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12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For guests, instructions on the safety procedures are available within a compendium alongside clear signage. For disabled guests, our team communicate the key emergency considerations accordingly.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Support animals are allowed in accommodation residences and all areas of the estate. There is always a water bowl available for service animals and sleeping/shade/rest areas available. Food is not automatically provided, but can be facilitated upon request.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Yes, if requested we have a printer available to provide custom text size.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To support individuals with fatigue related to their disability, we’ve implemented measures across both everyday service and emergency planning. These include prioritised assistance, adequate staffing levels to reduce wait times, bookable tastings and experiences to avoid queues, self-check-in options, and seating in key areas. Guests are also encouraged to share any fatigue-related needs so we can provide tailored support.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If requested, our team can easily support this request. However, there is not any public transport in our properties general area as it is located rurally.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4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DG__7929</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SHOTBYTHOM-02975</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SHOTBYTHOM-03050</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750mm rooms and entrance between 850\900 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 business offers a range of non-allergenic bedding</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400 mm.</w:t>
      </w:r>
    </w:p>
    <w:p>
      <w:pPr>
        <w:pStyle w:val="ListBullet"/>
        <w:numPr>
          <w:ilvl w:val="0"/>
          <w:numId w:val="35"/>
        </w:numPr>
        <w:spacing/>
        <w:rPr/>
      </w:pPr>
      <w:r>
        <w:rPr/>
        <w:t xml:space="preserve">There is 1000mm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Subtitle"/>
        <w:spacing/>
        <w:rPr/>
      </w:pPr>
      <w:r>
        <w:rPr/>
        <w:t xml:space="preserve">Bathroom Image(s)</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DG__7941</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DG__7997</w:t>
      </w:r>
    </w:p>
    <w:p>
      <w:pPr>
        <w:spacing/>
        <w:rPr/>
      </w:pPr>
      <w:r>
        <w:rPr/>
        <w:drawing>
          <wp:inline>
            <wp:extent cx="16891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689100" cy="2540000"/>
                    </a:xfrm>
                    <a:prstGeom prst="rect">
                      <a:avLst/>
                    </a:prstGeom>
                  </pic:spPr>
                </pic:pic>
              </a:graphicData>
            </a:graphic>
          </wp:inline>
        </w:drawing>
      </w:r>
    </w:p>
    <w:p>
      <w:pPr>
        <w:spacing/>
        <w:rPr/>
      </w:pPr>
      <w:r>
        <w:rPr/>
        <w:t xml:space="preserve">DG__8114</w:t>
      </w:r>
    </w:p>
    <w:p>
      <w:pPr>
        <w:pStyle w:val="Heading1"/>
        <w:spacing/>
        <w:rPr/>
      </w:pPr>
      <w:bookmarkStart w:id="26" w:name="_Toc0000000022"/>
      <w:r>
        <w:rPr/>
        <w:t xml:space="preserve">ATTRACTIONS</w:t>
      </w:r>
      <w:bookmarkEnd w:id="26"/>
    </w:p>
    <w:p>
      <w:pPr>
        <w:spacing/>
        <w:rPr/>
      </w:pPr>
      <w:r>
        <w:rPr/>
        <w:t xml:space="preserve"> </w:t>
      </w:r>
    </w:p>
    <w:p>
      <w:pPr>
        <w:pStyle w:val="Heading2"/>
        <w:spacing/>
        <w:rPr/>
      </w:pPr>
      <w:bookmarkStart w:id="27" w:name="_Toc0000000023"/>
      <w:r>
        <w:rPr/>
        <w:t xml:space="preserve">Attractions Basics</w:t>
      </w:r>
      <w:bookmarkEnd w:id="27"/>
    </w:p>
    <w:p>
      <w:pPr>
        <w:pStyle w:val="ListBullet"/>
        <w:numPr>
          <w:ilvl w:val="0"/>
          <w:numId w:val="35"/>
        </w:numPr>
        <w:spacing/>
        <w:rPr/>
      </w:pPr>
      <w:r>
        <w:rPr/>
        <w:t xml:space="preserve">A park map is available here:</w:t>
      </w:r>
    </w:p>
    <w:p>
      <w:pPr>
        <w:spacing/>
        <w:rPr/>
      </w:pPr>
    </w:p>
    <w:p>
      <w:pPr>
        <w:pBdr/>
        <w:spacing/>
        <w:rPr/>
      </w:pPr>
      <w:r>
        <w:rPr/>
        <w:t xml:space="preserve">https://ampersandestates.com.au/about/the-estate/</w:t>
      </w:r>
    </w:p>
    <w:p>
      <w:pPr>
        <w:pStyle w:val="Heading1"/>
        <w:spacing/>
        <w:rPr/>
      </w:pPr>
      <w:bookmarkStart w:id="28" w:name="_Toc0000000024"/>
      <w:r>
        <w:rPr/>
        <w:t xml:space="preserve">COMMON AREAS</w:t>
      </w:r>
      <w:bookmarkEnd w:id="28"/>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 strict personal hygiene;</w:t>
      </w:r>
    </w:p>
    <w:p>
      <w:pPr>
        <w:pBdr/>
        <w:spacing/>
        <w:rPr/>
      </w:pPr>
      <w:r>
        <w:rPr/>
        <w:t xml:space="preserve">- avoid rinsing raw meats;</w:t>
      </w:r>
    </w:p>
    <w:p>
      <w:pPr>
        <w:pBdr/>
        <w:spacing/>
        <w:rPr/>
      </w:pPr>
      <w:r>
        <w:rPr/>
        <w:t xml:space="preserve">- wear clean clothing and gloves;</w:t>
      </w:r>
    </w:p>
    <w:p>
      <w:pPr>
        <w:pBdr/>
        <w:spacing/>
        <w:rPr/>
      </w:pPr>
      <w:r>
        <w:rPr/>
        <w:t xml:space="preserve">- assing specific cutting boards and utensils;</w:t>
      </w:r>
    </w:p>
    <w:p>
      <w:pPr>
        <w:pBdr/>
        <w:spacing/>
        <w:rPr/>
      </w:pPr>
      <w:r>
        <w:rPr/>
        <w:t xml:space="preserve">- practice proper cleaning and sanitization in surfaces, utensils and equipment;</w:t>
      </w:r>
    </w:p>
    <w:p>
      <w:pPr>
        <w:pBdr/>
        <w:spacing/>
        <w:rPr/>
      </w:pPr>
      <w:r>
        <w:rPr/>
        <w:t xml:space="preserve">- store ingredients in sealed containers with labels;</w:t>
      </w:r>
    </w:p>
    <w:p>
      <w:pPr>
        <w:pBdr/>
        <w:spacing/>
        <w:rPr/>
      </w:pPr>
      <w:r>
        <w:rPr/>
        <w:t xml:space="preserve">- providing individual serving utensils for our guests;</w:t>
      </w:r>
    </w:p>
    <w:p>
      <w:pPr>
        <w:pBdr/>
        <w:spacing/>
        <w:rPr/>
      </w:pPr>
      <w:r>
        <w:rPr/>
        <w:t xml:space="preserve">- education staff from control allergens with clear labels and separate utensils.</w:t>
      </w:r>
    </w:p>
    <w:p>
      <w:pPr>
        <w:pStyle w:val="Subtitle"/>
        <w:spacing/>
        <w:rPr/>
      </w:pPr>
      <w:r>
        <w:rPr/>
        <w:t xml:space="preserve">Food and Beverage Image(s)</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SHOTBYTHOM-03562</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processed-AD165555-DF29-4791-8205-0C7D26DF8CDF</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processed-7E46DE9A-CC36-40BD-B10B-378EB46C8B8A</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processed-7A6B95E1-274A-48F9-9F04-2E612B069217</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processed-D4C13F7B-96EC-465B-B6D4-7C7EF86CD02E</w:t>
      </w:r>
    </w:p>
    <w:p>
      <w:pPr>
        <w:pStyle w:val="Heading1"/>
        <w:spacing/>
        <w:rPr/>
      </w:pPr>
      <w:bookmarkStart w:id="31" w:name="_Toc0000000027"/>
      <w:r>
        <w:rPr/>
        <w:t xml:space="preserve">EVENTS</w:t>
      </w:r>
      <w:bookmarkEnd w:id="31"/>
    </w:p>
    <w:p>
      <w:pPr>
        <w:spacing/>
        <w:rPr/>
      </w:pPr>
      <w:r>
        <w:rPr/>
        <w:t xml:space="preserve"> </w:t>
      </w:r>
    </w:p>
    <w:p>
      <w:pPr>
        <w:pStyle w:val="Heading2"/>
        <w:spacing/>
        <w:rPr/>
      </w:pPr>
      <w:bookmarkStart w:id="32" w:name="_Toc0000000028"/>
      <w:r>
        <w:rPr/>
        <w:t xml:space="preserve">Events</w:t>
      </w:r>
      <w:bookmarkEnd w:id="32"/>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Intra venue transport</w:t>
      </w:r>
    </w:p>
    <w:p>
      <w:pPr>
        <w:pStyle w:val="ListBullet"/>
        <w:numPr>
          <w:ilvl w:val="0"/>
          <w:numId w:val="35"/>
        </w:numPr>
        <w:spacing/>
        <w:rPr/>
      </w:pPr>
      <w:r>
        <w:rPr/>
        <w:t xml:space="preserve">Intra venue transport is wheelchair accessible</w:t>
      </w:r>
    </w:p>
    <w:p>
      <w:pPr>
        <w:pStyle w:val="ListBullet"/>
        <w:numPr>
          <w:ilvl w:val="0"/>
          <w:numId w:val="35"/>
        </w:numPr>
        <w:spacing/>
        <w:rPr/>
      </w:pPr>
      <w:r>
        <w:rPr/>
        <w:t xml:space="preserve">Intra venue transport provides visual indicators of stop off points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A step free route is shown</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3" w:name="_Toc0000000029"/>
      <w:r>
        <w:rPr/>
        <w:t xml:space="preserve">Report Disclaimer</w:t>
      </w:r>
      <w:bookmarkEnd w:id="3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121C95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4" Type="http://schemas.openxmlformats.org/officeDocument/2006/relationships/styles" Target="styles.xml" /><Relationship Id="rId15" Type="http://schemas.openxmlformats.org/officeDocument/2006/relationships/settings" Target="settings.xml" /><Relationship Id="rId16" Type="http://schemas.openxmlformats.org/officeDocument/2006/relationships/theme" Target="theme/theme1.xml" /><Relationship Id="rId17" Type="http://schemas.openxmlformats.org/officeDocument/2006/relationships/numbering" Target="numbering.xml" /><Relationship Id="rId1" Type="http://schemas.openxmlformats.org/officeDocument/2006/relationships/footer" Target="footer1.xml" /><Relationship Id="rId1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