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TRIBE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Walker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 Haynes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0862473333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diane.haynes@tribehotels.com.au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https://tribehotels.com/en/</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14:14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https://tribehotels.com/en/terms-and-policies/accessibility/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can be seated in the Lobby if waiting longer than usual.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8 rooms rooms available to guests who use a wheelchair</w:t>
      </w:r>
    </w:p>
    <w:p>
      <w:pPr>
        <w:pStyle w:val="Subtitle"/>
        <w:spacing/>
        <w:rPr/>
      </w:pPr>
      <w:r>
        <w:rPr/>
        <w:t xml:space="preserve">Layout of room 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Tribe Guestroom space</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Bathroom space</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Shower_3</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Shower_2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Door to Bathroom</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to ensure high risk food items served or prepared reach an internal core temperature of 75 degrees; maintain visibility over catering and function food served or re-heated, ensure meal preparation method are corrected upon failed results.Kitchen staff are to ensure all surfaces, knives, and other tools after each use, particularly after contact with any raw food are sanitised throughly.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https://tribehotels.com/en/australia/perth/tribe-table/</w:t>
      </w:r>
    </w:p>
    <w:p>
      <w:pPr>
        <w:pStyle w:val="Subtitle"/>
        <w:spacing/>
        <w:rPr/>
      </w:pPr>
      <w:r>
        <w:rPr/>
        <w:t xml:space="preserve">Food and Beverage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Tribe Buffet Table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Entry to Reception</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Tribe Counter_Bar area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9F627B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