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Turquoise Safaris</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10 Grigson Street</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Jurien Bay</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Kane Krollig</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1300 723 274</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info@turquoisesafaris.com.au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www.turquoisesafaris.com.au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2026-10-19 15:48</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Other Information</w:t>
          </w:r>
          <w:r>
            <w:rPr/>
            <w:tab/>
            <w:t xml:space="preserve"/>
          </w:r>
          <w:r>
            <w:rPr/>
            <w:fldChar w:fldCharType="begin"/>
          </w:r>
          <w:r>
            <w:rPr/>
            <w:instrText xml:space="preserve">PAGEREF _Toc0000000006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_Toc0000000007 \h</w:instrText>
          </w:r>
          <w:r>
            <w:rPr/>
            <w:fldChar w:fldCharType="separate"/>
          </w:r>
          <w:r>
            <w:rPr/>
            <w:t xml:space="preserve">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GENERAL</w:t>
          </w:r>
          <w:r>
            <w:rPr/>
            <w:tab/>
            <w:t xml:space="preserve"/>
          </w:r>
          <w:r>
            <w:rPr/>
            <w:fldChar w:fldCharType="begin"/>
          </w:r>
          <w:r>
            <w:rPr/>
            <w:instrText xml:space="preserve">PAGEREF _Toc0000000008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_Toc0000000009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_Toc0000000010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_Toc0000000011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Ramps</w:t>
          </w:r>
          <w:r>
            <w:rPr/>
            <w:tab/>
            <w:t xml:space="preserve"/>
          </w:r>
          <w:r>
            <w:rPr/>
            <w:fldChar w:fldCharType="begin"/>
          </w:r>
          <w:r>
            <w:rPr/>
            <w:instrText xml:space="preserve">PAGEREF _Toc0000000012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Public Toilets/Adult change facilities</w:t>
          </w:r>
          <w:r>
            <w:rPr/>
            <w:tab/>
            <w:t xml:space="preserve"/>
          </w:r>
          <w:r>
            <w:rPr/>
            <w:fldChar w:fldCharType="begin"/>
          </w:r>
          <w:r>
            <w:rPr/>
            <w:instrText xml:space="preserve">PAGEREF _Toc0000000013 \h</w:instrText>
          </w:r>
          <w:r>
            <w:rPr/>
            <w:fldChar w:fldCharType="separate"/>
          </w:r>
          <w:r>
            <w:rPr/>
            <w:t xml:space="preserve">6</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TOUR OPERATORS</w:t>
          </w:r>
          <w:r>
            <w:rPr/>
            <w:tab/>
            <w:t xml:space="preserve"/>
          </w:r>
          <w:r>
            <w:rPr/>
            <w:fldChar w:fldCharType="begin"/>
          </w:r>
          <w:r>
            <w:rPr/>
            <w:instrText xml:space="preserve">PAGEREF _Toc0000000014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Tour/Transport Services</w:t>
          </w:r>
          <w:r>
            <w:rPr/>
            <w:tab/>
            <w:t xml:space="preserve"/>
          </w:r>
          <w:r>
            <w:rPr/>
            <w:fldChar w:fldCharType="begin"/>
          </w:r>
          <w:r>
            <w:rPr/>
            <w:instrText xml:space="preserve">PAGEREF _Toc0000000015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Guides</w:t>
          </w:r>
          <w:r>
            <w:rPr/>
            <w:tab/>
            <w:t xml:space="preserve"/>
          </w:r>
          <w:r>
            <w:rPr/>
            <w:fldChar w:fldCharType="begin"/>
          </w:r>
          <w:r>
            <w:rPr/>
            <w:instrText xml:space="preserve">PAGEREF _Toc0000000016 \h</w:instrText>
          </w:r>
          <w:r>
            <w:rPr/>
            <w:fldChar w:fldCharType="separate"/>
          </w:r>
          <w:r>
            <w:rPr/>
            <w:t xml:space="preserve">8</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ADVENTURE ACTIVITIES</w:t>
          </w:r>
          <w:r>
            <w:rPr/>
            <w:tab/>
            <w:t xml:space="preserve"/>
          </w:r>
          <w:r>
            <w:rPr/>
            <w:fldChar w:fldCharType="begin"/>
          </w:r>
          <w:r>
            <w:rPr/>
            <w:instrText xml:space="preserve">PAGEREF _Toc0000000017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Adventure activities</w:t>
          </w:r>
          <w:r>
            <w:rPr/>
            <w:tab/>
            <w:t xml:space="preserve"/>
          </w:r>
          <w:r>
            <w:rPr/>
            <w:fldChar w:fldCharType="begin"/>
          </w:r>
          <w:r>
            <w:rPr/>
            <w:instrText xml:space="preserve">PAGEREF _Toc0000000018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"_Toc0000000019"</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_Toc0000000019 \h</w:instrText>
          </w:r>
          <w:r>
            <w:rPr/>
            <w:fldChar w:fldCharType="separate"/>
          </w:r>
          <w:r>
            <w:rPr/>
            <w:t xml:space="preserve">12</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Tour/Transport</w:t>
      </w:r>
    </w:p>
    <w:p>
      <w:pPr>
        <w:pStyle w:val="ListBullet"/>
        <w:numPr>
          <w:ilvl w:val="0"/>
          <w:numId w:val="35"/>
        </w:numPr>
        <w:spacing/>
        <w:rPr/>
      </w:pPr>
      <w:r>
        <w:rPr/>
        <w:t xml:space="preserve">Adventure</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Blind or low vision</w:t>
      </w:r>
    </w:p>
    <w:p>
      <w:pPr>
        <w:pStyle w:val="ListBullet"/>
        <w:numPr>
          <w:ilvl w:val="0"/>
          <w:numId w:val="35"/>
        </w:numPr>
        <w:spacing/>
        <w:rPr/>
      </w:pPr>
      <w:r>
        <w:rPr/>
        <w:t xml:space="preserve">Deaf or low hearing</w:t>
      </w:r>
    </w:p>
    <w:p>
      <w:pPr>
        <w:pStyle w:val="ListBullet"/>
        <w:numPr>
          <w:ilvl w:val="0"/>
          <w:numId w:val="35"/>
        </w:numPr>
        <w:spacing/>
        <w:rPr/>
      </w:pPr>
      <w:r>
        <w:rPr/>
        <w:t xml:space="preserve">Limited mobility</w:t>
      </w:r>
    </w:p>
    <w:p>
      <w:pPr>
        <w:pStyle w:val="ListBullet"/>
        <w:numPr>
          <w:ilvl w:val="0"/>
          <w:numId w:val="35"/>
        </w:numPr>
        <w:spacing/>
        <w:rPr/>
      </w:pPr>
      <w:r>
        <w:rPr/>
        <w:t xml:space="preserve">Wheelchairs or mobility scooters</w:t>
      </w:r>
    </w:p>
    <w:p>
      <w:pPr>
        <w:pStyle w:val="ListBullet"/>
        <w:numPr>
          <w:ilvl w:val="0"/>
          <w:numId w:val="35"/>
        </w:numPr>
        <w:spacing/>
        <w:rPr/>
      </w:pPr>
      <w:r>
        <w:rPr/>
        <w:t xml:space="preserve">Food allergies or intolerances</w:t>
      </w:r>
    </w:p>
    <w:p>
      <w:pPr>
        <w:pStyle w:val="ListBullet"/>
        <w:numPr>
          <w:ilvl w:val="0"/>
          <w:numId w:val="35"/>
        </w:numPr>
        <w:spacing/>
        <w:rPr/>
      </w:pPr>
      <w:r>
        <w:rPr/>
        <w:t xml:space="preserve">Cognitive or people on the Autism Spectrum</w:t>
      </w:r>
    </w:p>
    <w:p>
      <w:pPr>
        <w:spacing/>
        <w:rPr/>
      </w:pPr>
      <w:r>
        <w:rPr/>
        <w:drawing>
          <wp:inline>
            <wp:extent cx="2540000" cy="13970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13970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pStyle w:val="ListBullet"/>
        <w:numPr>
          <w:ilvl w:val="0"/>
          <w:numId w:val="35"/>
        </w:numPr>
        <w:spacing/>
        <w:rPr/>
      </w:pPr>
      <w:r>
        <w:rPr/>
        <w:t xml:space="preserve">Our website supports Screen Readers</w:t>
      </w:r>
    </w:p>
    <w:p>
      <w:pPr>
        <w:pStyle w:val="ListBullet"/>
        <w:numPr>
          <w:ilvl w:val="0"/>
          <w:numId w:val="35"/>
        </w:numPr>
        <w:spacing/>
        <w:rPr/>
      </w:pPr>
      <w:r>
        <w:rPr/>
        <w:t xml:space="preserve">Our forms have high contract boxes and submit boxes</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Emergency and evacuation procedures are explained on arrival</w:t>
      </w:r>
    </w:p>
    <w:p>
      <w:pPr>
        <w:pStyle w:val="ListBullet"/>
        <w:numPr>
          <w:ilvl w:val="0"/>
          <w:numId w:val="35"/>
        </w:numPr>
        <w:spacing/>
        <w:rPr/>
      </w:pPr>
      <w:r>
        <w:rPr/>
        <w:t xml:space="preserve">Exit access is free and clear at all times</w:t>
      </w:r>
    </w:p>
    <w:p>
      <w:pPr>
        <w:spacing/>
        <w:rPr/>
      </w:pPr>
      <w:r>
        <w:rPr/>
        <w:t xml:space="preserve">We ensure exit access is free and clear at all times by: </w:t>
      </w:r>
    </w:p>
    <w:p>
      <w:pPr>
        <w:pBdr/>
        <w:spacing/>
        <w:rPr/>
      </w:pPr>
      <w:r>
        <w:rPr/>
        <w:t xml:space="preserve">Crew keep exit door clear, passenger items are stored under seats, able to exit over sides if required.</w:t>
      </w:r>
    </w:p>
    <w:p>
      <w:pPr>
        <w:pStyle w:val="ListBullet"/>
        <w:numPr>
          <w:ilvl w:val="0"/>
          <w:numId w:val="35"/>
        </w:numPr>
        <w:spacing/>
        <w:rPr/>
      </w:pPr>
      <w:r>
        <w:rPr/>
        <w:t xml:space="preserve">Exit doors are able to be opened by all occupants</w:t>
      </w:r>
    </w:p>
    <w:p>
      <w:pPr>
        <w:pStyle w:val="ListBullet"/>
        <w:numPr>
          <w:ilvl w:val="0"/>
          <w:numId w:val="35"/>
        </w:numPr>
        <w:spacing/>
        <w:rPr/>
      </w:pPr>
      <w:r>
        <w:rPr/>
        <w:t xml:space="preserve">Exits to the emergency evacuation point does not include stairways</w:t>
      </w:r>
    </w:p>
    <w:p>
      <w:pPr>
        <w:pStyle w:val="ListBullet"/>
        <w:numPr>
          <w:ilvl w:val="0"/>
          <w:numId w:val="35"/>
        </w:numPr>
        <w:spacing/>
        <w:rPr/>
      </w:pPr>
      <w:r>
        <w:rPr/>
        <w:t xml:space="preserve">In addition, the following further information can assist guests:</w:t>
      </w:r>
    </w:p>
    <w:p>
      <w:pPr>
        <w:spacing/>
        <w:rPr/>
      </w:pPr>
      <w:r>
        <w:rPr/>
        <w:t xml:space="preserve">Logged on daily manifest, crew are informed </w:t>
      </w:r>
    </w:p>
    <w:p>
      <w:pPr>
        <w:pStyle w:val="ListBullet"/>
        <w:numPr>
          <w:ilvl w:val="0"/>
          <w:numId w:val="35"/>
        </w:numPr>
        <w:spacing/>
        <w:rPr/>
      </w:pPr>
      <w:r>
        <w:rPr/>
        <w:t xml:space="preserve">In addition, the following further information can assist guests:</w:t>
      </w:r>
    </w:p>
    <w:p>
      <w:pPr>
        <w:spacing/>
        <w:rPr/>
      </w:pPr>
      <w:r>
        <w:rPr/>
        <w:t xml:space="preserve">Staff are allocated to guest and are with guests who need assistance throughout the tour and will assist.</w:t>
      </w:r>
    </w:p>
    <w:p>
      <w:pPr>
        <w:pStyle w:val="ListBullet"/>
        <w:numPr>
          <w:ilvl w:val="0"/>
          <w:numId w:val="35"/>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5"/>
        </w:numPr>
        <w:spacing/>
        <w:rPr/>
      </w:pPr>
      <w:r>
        <w:rPr/>
        <w:t xml:space="preserve">Our business offers the following alternative communication methods</w:t>
      </w:r>
    </w:p>
    <w:p>
      <w:pPr>
        <w:pStyle w:val="ListBullet"/>
        <w:numPr>
          <w:ilvl w:val="0"/>
          <w:numId w:val="35"/>
        </w:numPr>
        <w:spacing/>
        <w:rPr/>
      </w:pPr>
      <w:r>
        <w:rPr/>
        <w:t xml:space="preserve">Plain English</w:t>
      </w:r>
    </w:p>
    <w:p>
      <w:pPr>
        <w:spacing/>
        <w:rPr/>
      </w:pPr>
    </w:p>
    <w:p>
      <w:pPr>
        <w:pBdr/>
        <w:spacing/>
        <w:rPr/>
      </w:pPr>
      <w:r>
        <w:rPr/>
        <w:t xml:space="preserve">Not specified</w:t>
      </w:r>
    </w:p>
    <w:p>
      <w:pPr>
        <w:spacing/>
        <w:rPr/>
      </w:pPr>
      <w:r>
        <w:rPr/>
        <w:t xml:space="preserve"> </w:t>
      </w:r>
    </w:p>
    <w:p>
      <w:pPr>
        <w:pStyle w:val="Heading2"/>
        <w:spacing/>
        <w:rPr/>
      </w:pPr>
      <w:bookmarkStart w:id="10" w:name="_Toc0000000006"/>
      <w:r>
        <w:rPr/>
        <w:t xml:space="preserve">Other Information</w:t>
      </w:r>
      <w:bookmarkEnd w:id="10"/>
    </w:p>
    <w:p>
      <w:pPr>
        <w:pStyle w:val="ListBullet"/>
        <w:numPr>
          <w:ilvl w:val="0"/>
          <w:numId w:val="35"/>
        </w:numPr>
        <w:spacing/>
        <w:rPr/>
      </w:pPr>
      <w:r>
        <w:rPr/>
        <w:t xml:space="preserve">The business accepts the companion card</w:t>
      </w:r>
    </w:p>
    <w:p>
      <w:pPr>
        <w:spacing/>
        <w:rPr/>
      </w:pPr>
      <w:r>
        <w:rPr/>
        <w:t xml:space="preserve"> </w:t>
      </w:r>
    </w:p>
    <w:p>
      <w:pPr>
        <w:pStyle w:val="Heading2"/>
        <w:spacing/>
        <w:rPr/>
      </w:pPr>
      <w:bookmarkStart w:id="11" w:name="_Toc0000000007"/>
      <w:r>
        <w:rPr/>
        <w:t xml:space="preserve">Guide Dog and Service Animals</w:t>
      </w:r>
      <w:bookmarkEnd w:id="11"/>
    </w:p>
    <w:p>
      <w:pPr>
        <w:spacing/>
        <w:rPr/>
      </w:pPr>
      <w:r>
        <w:rPr/>
        <w:t xml:space="preserve">The business provides the following services for services animals: </w:t>
      </w:r>
    </w:p>
    <w:p>
      <w:pPr>
        <w:pBdr/>
        <w:spacing/>
        <w:rPr/>
      </w:pPr>
      <w:r>
        <w:rPr/>
        <w:t xml:space="preserve">N/A</w:t>
      </w:r>
    </w:p>
    <w:p>
      <w:pPr>
        <w:pStyle w:val="Heading1"/>
        <w:spacing/>
        <w:rPr/>
      </w:pPr>
      <w:bookmarkStart w:id="12" w:name="_Toc0000000008"/>
      <w:r>
        <w:rPr/>
        <w:t xml:space="preserve">GENERAL</w:t>
      </w:r>
      <w:bookmarkEnd w:id="12"/>
    </w:p>
    <w:p>
      <w:pPr>
        <w:spacing/>
        <w:rPr/>
      </w:pPr>
      <w:r>
        <w:rPr/>
        <w:t xml:space="preserve"> </w:t>
      </w:r>
    </w:p>
    <w:p>
      <w:pPr>
        <w:pStyle w:val="Heading2"/>
        <w:spacing/>
        <w:rPr/>
      </w:pPr>
      <w:bookmarkStart w:id="13" w:name="_Toc0000000009"/>
      <w:r>
        <w:rPr/>
        <w:t xml:space="preserve">Pre-arrival, arrival and reception</w:t>
      </w:r>
      <w:bookmarkEnd w:id="13"/>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Booking information and websites are compatible with screen readers</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In addition, the following further information can assist guests:</w:t>
      </w:r>
    </w:p>
    <w:p>
      <w:pPr>
        <w:spacing/>
        <w:rPr/>
      </w:pPr>
      <w:r>
        <w:rPr/>
        <w:t xml:space="preserve">Priority Boarding</w:t>
      </w:r>
    </w:p>
    <w:p>
      <w:pPr>
        <w:spacing/>
        <w:rPr/>
      </w:pPr>
      <w:r>
        <w:rPr/>
        <w:t xml:space="preserve"> </w:t>
      </w:r>
    </w:p>
    <w:p>
      <w:pPr>
        <w:pStyle w:val="Heading2"/>
        <w:spacing/>
        <w:rPr/>
      </w:pPr>
      <w:bookmarkStart w:id="14" w:name="_Toc0000000010"/>
      <w:r>
        <w:rPr/>
        <w:t xml:space="preserve">Car Park and Access amenities</w:t>
      </w:r>
      <w:bookmarkEnd w:id="14"/>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Designated disabled parking bays</w:t>
      </w:r>
    </w:p>
    <w:p>
      <w:pPr>
        <w:pStyle w:val="ListBullet"/>
        <w:numPr>
          <w:ilvl w:val="0"/>
          <w:numId w:val="35"/>
        </w:numPr>
        <w:spacing/>
        <w:rPr/>
      </w:pPr>
      <w:r>
        <w:rPr/>
        <w:t xml:space="preserve">Level or ramped access from the car park to the entrance</w:t>
      </w:r>
    </w:p>
    <w:p>
      <w:pPr>
        <w:pStyle w:val="ListBullet"/>
        <w:numPr>
          <w:ilvl w:val="0"/>
          <w:numId w:val="35"/>
        </w:numPr>
        <w:spacing/>
        <w:rPr/>
      </w:pPr>
      <w:r>
        <w:rPr/>
        <w:t xml:space="preserve">The accessible entrance is clearly signed from the parking bay</w:t>
      </w:r>
    </w:p>
    <w:p>
      <w:pPr>
        <w:spacing/>
        <w:rPr/>
      </w:pPr>
      <w:r>
        <w:rPr/>
        <w:t xml:space="preserve"> </w:t>
      </w:r>
    </w:p>
    <w:p>
      <w:pPr>
        <w:pStyle w:val="Heading2"/>
        <w:spacing/>
        <w:rPr/>
      </w:pPr>
      <w:bookmarkStart w:id="15" w:name="_Toc0000000011"/>
      <w:r>
        <w:rPr/>
        <w:t xml:space="preserve">External Paths</w:t>
      </w:r>
      <w:bookmarkEnd w:id="15"/>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pStyle w:val="ListBullet"/>
        <w:numPr>
          <w:ilvl w:val="0"/>
          <w:numId w:val="35"/>
        </w:numPr>
        <w:spacing/>
        <w:rPr/>
      </w:pPr>
      <w:r>
        <w:rPr/>
        <w:t xml:space="preserve">Pathways are wider than 900mm</w:t>
      </w:r>
    </w:p>
    <w:p>
      <w:pPr>
        <w:spacing/>
        <w:rPr/>
      </w:pPr>
      <w:r>
        <w:rPr/>
        <w:t xml:space="preserve"> </w:t>
      </w:r>
    </w:p>
    <w:p>
      <w:pPr>
        <w:pStyle w:val="Heading2"/>
        <w:spacing/>
        <w:rPr/>
      </w:pPr>
      <w:bookmarkStart w:id="16" w:name="_Toc0000000012"/>
      <w:r>
        <w:rPr/>
        <w:t xml:space="preserve">Ramps</w:t>
      </w:r>
      <w:bookmarkEnd w:id="16"/>
    </w:p>
    <w:p>
      <w:pPr>
        <w:spacing/>
        <w:rPr/>
      </w:pPr>
      <w:r>
        <w:rPr/>
        <w:t xml:space="preserve">Ramps have the following amenities are in place</w:t>
      </w:r>
    </w:p>
    <w:p>
      <w:pPr>
        <w:pStyle w:val="ListBullet"/>
        <w:numPr>
          <w:ilvl w:val="0"/>
          <w:numId w:val="35"/>
        </w:numPr>
        <w:spacing/>
        <w:rPr/>
      </w:pPr>
      <w:r>
        <w:rPr/>
        <w:t xml:space="preserve">Temporary ramps are in place for the duration of the guests stay</w:t>
      </w:r>
    </w:p>
    <w:p>
      <w:pPr>
        <w:spacing/>
        <w:rPr/>
      </w:pPr>
      <w:r>
        <w:rPr/>
        <w:t xml:space="preserve"> </w:t>
      </w:r>
    </w:p>
    <w:p>
      <w:pPr>
        <w:pStyle w:val="Heading2"/>
        <w:spacing/>
        <w:rPr/>
      </w:pPr>
      <w:bookmarkStart w:id="17" w:name="_Toc0000000013"/>
      <w:r>
        <w:rPr/>
        <w:t xml:space="preserve">Public Toilets/Adult change facilities</w:t>
      </w:r>
      <w:bookmarkEnd w:id="17"/>
    </w:p>
    <w:p>
      <w:pPr>
        <w:spacing/>
        <w:rPr/>
      </w:pPr>
      <w:r>
        <w:rPr/>
        <w:t xml:space="preserve">Public Toilets/Adult change facilities have the following amenities are in place</w:t>
      </w:r>
    </w:p>
    <w:p>
      <w:pPr>
        <w:pStyle w:val="ListBullet"/>
        <w:numPr>
          <w:ilvl w:val="0"/>
          <w:numId w:val="35"/>
        </w:numPr>
        <w:spacing/>
        <w:rPr/>
      </w:pPr>
      <w:r>
        <w:rPr/>
        <w:t xml:space="preserve">There is an accessible toilet for public use</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Handrails are fitted</w:t>
      </w:r>
    </w:p>
    <w:p>
      <w:pPr>
        <w:pStyle w:val="ListBullet"/>
        <w:numPr>
          <w:ilvl w:val="0"/>
          <w:numId w:val="35"/>
        </w:numPr>
        <w:spacing/>
        <w:rPr/>
      </w:pPr>
      <w:r>
        <w:rPr/>
        <w:t xml:space="preserve">The toilet seat of a contrasting colour to the floor</w:t>
      </w:r>
    </w:p>
    <w:p>
      <w:pPr>
        <w:pStyle w:val="ListBullet"/>
        <w:numPr>
          <w:ilvl w:val="0"/>
          <w:numId w:val="35"/>
        </w:numPr>
        <w:spacing/>
        <w:rPr/>
      </w:pPr>
      <w:r>
        <w:rPr/>
        <w:t xml:space="preserve">The toilet seat is460mm above the floor</w:t>
      </w:r>
    </w:p>
    <w:p>
      <w:pPr>
        <w:pStyle w:val="Heading1"/>
        <w:spacing/>
        <w:rPr/>
      </w:pPr>
      <w:bookmarkStart w:id="18" w:name="_Toc0000000014"/>
      <w:r>
        <w:rPr/>
        <w:t xml:space="preserve">TOUR OPERATORS</w:t>
      </w:r>
      <w:bookmarkEnd w:id="18"/>
    </w:p>
    <w:p>
      <w:pPr>
        <w:spacing/>
        <w:rPr/>
      </w:pPr>
      <w:r>
        <w:rPr/>
        <w:t xml:space="preserve"> </w:t>
      </w:r>
    </w:p>
    <w:p>
      <w:pPr>
        <w:pStyle w:val="Heading2"/>
        <w:spacing/>
        <w:rPr/>
      </w:pPr>
      <w:bookmarkStart w:id="19" w:name="_Toc0000000015"/>
      <w:r>
        <w:rPr/>
        <w:t xml:space="preserve">Tour/Transport Services</w:t>
      </w:r>
      <w:bookmarkEnd w:id="19"/>
    </w:p>
    <w:p>
      <w:pPr>
        <w:spacing/>
        <w:rPr/>
      </w:pPr>
      <w:r>
        <w:rPr/>
        <w:t xml:space="preserve">The tour/transport services have the following facilities/amenities in place</w:t>
      </w:r>
    </w:p>
    <w:p>
      <w:pPr>
        <w:pStyle w:val="ListBullet"/>
        <w:numPr>
          <w:ilvl w:val="0"/>
          <w:numId w:val="35"/>
        </w:numPr>
        <w:spacing/>
        <w:rPr/>
      </w:pPr>
      <w:r>
        <w:rPr/>
        <w:t xml:space="preserve">Buses/Coaches</w:t>
      </w:r>
    </w:p>
    <w:p>
      <w:pPr>
        <w:pStyle w:val="ListBullet"/>
        <w:numPr>
          <w:ilvl w:val="0"/>
          <w:numId w:val="35"/>
        </w:numPr>
        <w:spacing/>
        <w:rPr/>
      </w:pPr>
      <w:r>
        <w:rPr/>
        <w:t xml:space="preserve">0 vehicles have wheelchair lifts or ramps</w:t>
      </w:r>
    </w:p>
    <w:p>
      <w:pPr>
        <w:pStyle w:val="ListBullet"/>
        <w:numPr>
          <w:ilvl w:val="0"/>
          <w:numId w:val="35"/>
        </w:numPr>
        <w:spacing/>
        <w:rPr/>
      </w:pPr>
      <w:r>
        <w:rPr/>
        <w:t xml:space="preserve">1 Low floor, no ramp required. vehicles have low floors with ramped entry</w:t>
      </w:r>
    </w:p>
    <w:p>
      <w:pPr>
        <w:spacing/>
        <w:rPr/>
      </w:pPr>
      <w:r>
        <w:rPr/>
        <w:t xml:space="preserve">The maximum wheelchair capacity available in the fleet is: </w:t>
      </w:r>
    </w:p>
    <w:p>
      <w:pPr>
        <w:pBdr/>
        <w:spacing/>
        <w:rPr/>
      </w:pPr>
      <w:r>
        <w:rPr/>
        <w:t xml:space="preserve">1</w:t>
      </w:r>
    </w:p>
    <w:p>
      <w:pPr>
        <w:pStyle w:val="ListBullet"/>
        <w:numPr>
          <w:ilvl w:val="0"/>
          <w:numId w:val="35"/>
        </w:numPr>
        <w:spacing/>
        <w:rPr/>
      </w:pPr>
      <w:r>
        <w:rPr/>
        <w:t xml:space="preserve">Commentary is available in written format</w:t>
      </w:r>
    </w:p>
    <w:p>
      <w:pPr>
        <w:pStyle w:val="ListBullet"/>
        <w:numPr>
          <w:ilvl w:val="0"/>
          <w:numId w:val="35"/>
        </w:numPr>
        <w:spacing/>
        <w:rPr/>
      </w:pPr>
      <w:r>
        <w:rPr/>
        <w:t xml:space="preserve">The door is N/A wide</w:t>
      </w:r>
    </w:p>
    <w:p>
      <w:pPr>
        <w:pStyle w:val="ListBullet"/>
        <w:numPr>
          <w:ilvl w:val="0"/>
          <w:numId w:val="35"/>
        </w:numPr>
        <w:spacing/>
        <w:rPr/>
      </w:pPr>
      <w:r>
        <w:rPr/>
        <w:t xml:space="preserve">There is N/A mm beside the toilet</w:t>
      </w:r>
    </w:p>
    <w:p>
      <w:pPr>
        <w:spacing/>
        <w:rPr/>
      </w:pPr>
      <w:r>
        <w:rPr/>
        <w:t xml:space="preserve"> </w:t>
      </w:r>
    </w:p>
    <w:p>
      <w:pPr>
        <w:pStyle w:val="Heading2"/>
        <w:spacing/>
        <w:rPr/>
      </w:pPr>
      <w:bookmarkStart w:id="20" w:name="_Toc0000000016"/>
      <w:r>
        <w:rPr/>
        <w:t xml:space="preserve">Guides</w:t>
      </w:r>
      <w:bookmarkEnd w:id="20"/>
    </w:p>
    <w:p>
      <w:pPr>
        <w:pStyle w:val="ListBullet"/>
        <w:numPr>
          <w:ilvl w:val="0"/>
          <w:numId w:val="35"/>
        </w:numPr>
        <w:spacing/>
        <w:rPr/>
      </w:pPr>
      <w:r>
        <w:rPr/>
        <w:t xml:space="preserve">Use of clear/simple English</w:t>
      </w:r>
    </w:p>
    <w:p>
      <w:pPr>
        <w:pStyle w:val="ListBullet"/>
        <w:numPr>
          <w:ilvl w:val="0"/>
          <w:numId w:val="35"/>
        </w:numPr>
        <w:spacing/>
        <w:rPr/>
      </w:pPr>
      <w:r>
        <w:rPr/>
        <w:t xml:space="preserve">Correct pronunciation for lip readers</w:t>
      </w:r>
    </w:p>
    <w:p>
      <w:pPr>
        <w:pStyle w:val="ListBullet"/>
        <w:numPr>
          <w:ilvl w:val="0"/>
          <w:numId w:val="35"/>
        </w:numPr>
        <w:spacing/>
        <w:rPr/>
      </w:pPr>
      <w:r>
        <w:rPr/>
        <w:t xml:space="preserve">Marine</w:t>
      </w:r>
    </w:p>
    <w:p>
      <w:pPr>
        <w:pStyle w:val="ListBullet"/>
        <w:numPr>
          <w:ilvl w:val="0"/>
          <w:numId w:val="35"/>
        </w:numPr>
        <w:spacing/>
        <w:rPr/>
      </w:pPr>
      <w:r>
        <w:rPr/>
        <w:t xml:space="preserve">Marine craft are wheelchair accessible</w:t>
      </w:r>
    </w:p>
    <w:p>
      <w:pPr>
        <w:pStyle w:val="ListBullet"/>
        <w:numPr>
          <w:ilvl w:val="0"/>
          <w:numId w:val="35"/>
        </w:numPr>
        <w:spacing/>
        <w:rPr/>
      </w:pPr>
      <w:r>
        <w:rPr/>
        <w:t xml:space="preserve">Length (cm) 80cm.</w:t>
      </w:r>
    </w:p>
    <w:p>
      <w:pPr>
        <w:pStyle w:val="ListBullet"/>
        <w:numPr>
          <w:ilvl w:val="0"/>
          <w:numId w:val="35"/>
        </w:numPr>
        <w:spacing/>
        <w:rPr/>
      </w:pPr>
      <w:r>
        <w:rPr/>
        <w:t xml:space="preserve">Width (cm) 60cm.</w:t>
      </w:r>
    </w:p>
    <w:p>
      <w:pPr>
        <w:pStyle w:val="ListBullet"/>
        <w:numPr>
          <w:ilvl w:val="0"/>
          <w:numId w:val="35"/>
        </w:numPr>
        <w:spacing/>
        <w:rPr/>
      </w:pPr>
      <w:r>
        <w:rPr/>
        <w:t xml:space="preserve">Height (cm) 90cm.</w:t>
      </w:r>
    </w:p>
    <w:p>
      <w:pPr>
        <w:pStyle w:val="ListBullet"/>
        <w:numPr>
          <w:ilvl w:val="0"/>
          <w:numId w:val="35"/>
        </w:numPr>
        <w:spacing/>
        <w:rPr/>
      </w:pPr>
      <w:r>
        <w:rPr/>
        <w:t xml:space="preserve">Weight (kg) 30kg.</w:t>
      </w:r>
    </w:p>
    <w:p>
      <w:pPr>
        <w:pStyle w:val="Subtitle"/>
        <w:spacing/>
        <w:rPr/>
      </w:pPr>
      <w:r>
        <w:rPr/>
        <w:t xml:space="preserve">Image(s)</w:t>
      </w:r>
    </w:p>
    <w:p>
      <w:pPr>
        <w:spacing/>
        <w:rPr/>
      </w:pPr>
      <w:r>
        <w:rPr/>
        <w:drawing>
          <wp:inline>
            <wp:extent cx="1466088" cy="1950720"/>
            <wp:docPr id="2" name="Picture 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
                    <a:srcRect/>
                    <a:stretch>
                      <a:fillRect/>
                    </a:stretch>
                  </pic:blipFill>
                  <pic:spPr bwMode="auto">
                    <a:xfrm>
                      <a:off x="0" y="0"/>
                      <a:ext cx="1466088" cy="1950720"/>
                    </a:xfrm>
                    <a:prstGeom prst="rect">
                      <a:avLst/>
                    </a:prstGeom>
                  </pic:spPr>
                </pic:pic>
              </a:graphicData>
            </a:graphic>
          </wp:inline>
        </w:drawing>
      </w:r>
    </w:p>
    <w:p>
      <w:pPr>
        <w:spacing/>
        <w:rPr/>
      </w:pPr>
      <w:r>
        <w:rPr/>
        <w:t xml:space="preserve">Access Door 2</w:t>
      </w:r>
    </w:p>
    <w:p>
      <w:pPr>
        <w:spacing/>
        <w:rPr/>
      </w:pPr>
      <w:r>
        <w:rPr/>
        <w:drawing>
          <wp:inline>
            <wp:extent cx="1466088" cy="1950720"/>
            <wp:docPr id="3"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
                    <a:srcRect/>
                    <a:stretch>
                      <a:fillRect/>
                    </a:stretch>
                  </pic:blipFill>
                  <pic:spPr bwMode="auto">
                    <a:xfrm>
                      <a:off x="0" y="0"/>
                      <a:ext cx="1466088" cy="1950720"/>
                    </a:xfrm>
                    <a:prstGeom prst="rect">
                      <a:avLst/>
                    </a:prstGeom>
                  </pic:spPr>
                </pic:pic>
              </a:graphicData>
            </a:graphic>
          </wp:inline>
        </w:drawing>
      </w:r>
    </w:p>
    <w:p>
      <w:pPr>
        <w:spacing/>
        <w:rPr/>
      </w:pPr>
      <w:r>
        <w:rPr/>
        <w:t xml:space="preserve">Access Ramp</w:t>
      </w:r>
    </w:p>
    <w:p>
      <w:pPr>
        <w:spacing/>
        <w:rPr/>
      </w:pPr>
      <w:r>
        <w:rPr/>
        <w:drawing>
          <wp:inline>
            <wp:extent cx="1466088" cy="1950720"/>
            <wp:docPr id="4"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5"/>
                    <a:srcRect/>
                    <a:stretch>
                      <a:fillRect/>
                    </a:stretch>
                  </pic:blipFill>
                  <pic:spPr bwMode="auto">
                    <a:xfrm>
                      <a:off x="0" y="0"/>
                      <a:ext cx="1466088" cy="1950720"/>
                    </a:xfrm>
                    <a:prstGeom prst="rect">
                      <a:avLst/>
                    </a:prstGeom>
                  </pic:spPr>
                </pic:pic>
              </a:graphicData>
            </a:graphic>
          </wp:inline>
        </w:drawing>
      </w:r>
    </w:p>
    <w:p>
      <w:pPr>
        <w:spacing/>
        <w:rPr/>
      </w:pPr>
      <w:r>
        <w:rPr/>
        <w:t xml:space="preserve">Doorwar Vessel</w:t>
      </w:r>
    </w:p>
    <w:p>
      <w:pPr>
        <w:pStyle w:val="Heading1"/>
        <w:spacing/>
        <w:rPr/>
      </w:pPr>
      <w:bookmarkStart w:id="21" w:name="_Toc0000000017"/>
      <w:r>
        <w:rPr/>
        <w:t xml:space="preserve">ADVENTURE ACTIVITIES</w:t>
      </w:r>
      <w:bookmarkEnd w:id="21"/>
    </w:p>
    <w:p>
      <w:pPr>
        <w:spacing/>
        <w:rPr/>
      </w:pPr>
      <w:r>
        <w:rPr/>
        <w:t xml:space="preserve"> </w:t>
      </w:r>
    </w:p>
    <w:p>
      <w:pPr>
        <w:pStyle w:val="Heading2"/>
        <w:spacing/>
        <w:rPr/>
      </w:pPr>
      <w:bookmarkStart w:id="22" w:name="_Toc0000000018"/>
      <w:r>
        <w:rPr/>
        <w:t xml:space="preserve">Adventure activities</w:t>
      </w:r>
      <w:bookmarkEnd w:id="22"/>
    </w:p>
    <w:p>
      <w:pPr>
        <w:spacing/>
        <w:rPr/>
      </w:pPr>
      <w:r>
        <w:rPr/>
        <w:t xml:space="preserve">The adventure activities have the following facilities/amenities in place</w:t>
      </w:r>
    </w:p>
    <w:p>
      <w:pPr>
        <w:pStyle w:val="ListBullet"/>
        <w:numPr>
          <w:ilvl w:val="0"/>
          <w:numId w:val="35"/>
        </w:numPr>
        <w:spacing/>
        <w:rPr/>
      </w:pPr>
      <w:r>
        <w:rPr/>
        <w:t xml:space="preserve">Our adventure activities cater for people with a disability</w:t>
      </w:r>
    </w:p>
    <w:p>
      <w:pPr>
        <w:pStyle w:val="ListBullet"/>
        <w:numPr>
          <w:ilvl w:val="0"/>
          <w:numId w:val="35"/>
        </w:numPr>
        <w:spacing/>
        <w:rPr/>
      </w:pPr>
      <w:r>
        <w:rPr/>
        <w:t xml:space="preserve">In addition, the following further information can assist guests:</w:t>
      </w:r>
    </w:p>
    <w:p>
      <w:pPr>
        <w:spacing/>
        <w:rPr/>
      </w:pPr>
      <w:r>
        <w:rPr/>
        <w:t xml:space="preserve">Observing or Snorkeling with Australian Sea Lions</w:t>
      </w:r>
    </w:p>
    <w:p>
      <w:pPr>
        <w:pStyle w:val="ListBullet"/>
        <w:numPr>
          <w:ilvl w:val="0"/>
          <w:numId w:val="35"/>
        </w:numPr>
        <w:spacing/>
        <w:rPr/>
      </w:pPr>
      <w:r>
        <w:rPr/>
        <w:t xml:space="preserve">In addition, the following further information can assist guests:</w:t>
      </w:r>
    </w:p>
    <w:p>
      <w:pPr>
        <w:spacing/>
        <w:rPr/>
      </w:pPr>
      <w:r>
        <w:rPr/>
        <w:t xml:space="preserve">Buoyancy vests, life rings and extra crew members</w:t>
      </w:r>
    </w:p>
    <w:p>
      <w:pPr>
        <w:pStyle w:val="ListBullet"/>
        <w:numPr>
          <w:ilvl w:val="0"/>
          <w:numId w:val="35"/>
        </w:numPr>
        <w:spacing/>
        <w:rPr/>
      </w:pPr>
      <w:r>
        <w:rPr/>
        <w:t xml:space="preserve">In addition, the following further information can assist guests:</w:t>
      </w:r>
    </w:p>
    <w:p>
      <w:pPr>
        <w:spacing/>
        <w:rPr/>
      </w:pPr>
      <w:r>
        <w:rPr/>
        <w:t xml:space="preserve">Participants must have a basic swimming ability to participate as a snorkeler.</w:t>
      </w:r>
    </w:p>
    <w:p>
      <w:pPr>
        <w:pStyle w:val="Subtitle"/>
        <w:spacing/>
        <w:rPr/>
      </w:pPr>
      <w:r>
        <w:rPr/>
        <w:t xml:space="preserve">Adventure Activity Image(s)</w:t>
      </w:r>
    </w:p>
    <w:p>
      <w:pPr>
        <w:spacing/>
        <w:rPr/>
      </w:pPr>
      <w:r>
        <w:rPr/>
        <w:drawing>
          <wp:inline>
            <wp:extent cx="1892300" cy="2540000"/>
            <wp:docPr id="5"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6"/>
                    <a:srcRect/>
                    <a:stretch>
                      <a:fillRect/>
                    </a:stretch>
                  </pic:blipFill>
                  <pic:spPr bwMode="auto">
                    <a:xfrm>
                      <a:off x="0" y="0"/>
                      <a:ext cx="1892300" cy="2540000"/>
                    </a:xfrm>
                    <a:prstGeom prst="rect">
                      <a:avLst/>
                    </a:prstGeom>
                  </pic:spPr>
                </pic:pic>
              </a:graphicData>
            </a:graphic>
          </wp:inline>
        </w:drawing>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Crew with life ring</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23" w:name="_Toc0000000019"/>
      <w:r>
        <w:rPr/>
        <w:t xml:space="preserve">Report Disclaimer</w:t>
      </w:r>
      <w:bookmarkEnd w:id="23"/>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24732A87"/>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7" Type="http://schemas.openxmlformats.org/officeDocument/2006/relationships/styles" Target="styles.xml" /><Relationship Id="rId8" Type="http://schemas.openxmlformats.org/officeDocument/2006/relationships/settings" Target="settings.xml" /><Relationship Id="rId9" Type="http://schemas.openxmlformats.org/officeDocument/2006/relationships/theme" Target="theme/theme1.xml" /><Relationship Id="rId10" Type="http://schemas.openxmlformats.org/officeDocument/2006/relationships/numbering" Target="numbering.xml" /><Relationship Id="rId1" Type="http://schemas.openxmlformats.org/officeDocument/2006/relationships/footer" Target="footer1.xml" /><Relationship Id="rId11" Type="http://schemas.openxmlformats.org/officeDocument/2006/relationships/fontTable" Target="fontTable.xml" /><Relationship Id="rId2" Type="http://schemas.openxmlformats.org/officeDocument/2006/relationships/image" Target="media/image1.jpeg" /><Relationship Id="rId3" Type="http://schemas.openxmlformats.org/officeDocument/2006/relationships/image" Target="media/image2.jpeg" /><Relationship Id="rId4" Type="http://schemas.openxmlformats.org/officeDocument/2006/relationships/image" Target="media/image3.jpeg" /><Relationship Id="rId5" Type="http://schemas.openxmlformats.org/officeDocument/2006/relationships/image" Target="media/image4.jpeg" /><Relationship Id="rId6" Type="http://schemas.openxmlformats.org/officeDocument/2006/relationships/image" Target="media/image5.png" /><Relationship Id="rId12" Type="http://schemas.openxmlformats.org/officeDocument/2006/relationships/customXml" Target="../customXml/item1.xml" /><Relationship Id="rId13" Type="http://schemas.openxmlformats.org/officeDocument/2006/relationships/customXml" Target="../customXml/item2.xml" /><Relationship Id="rId14" Type="http://schemas.openxmlformats.org/officeDocument/2006/relationships/customXml" Target="../customXml/item3.xml" /><Relationship Id="rId15"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