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Wongai Beach Hotel</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2 Wees Street</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HORN ISLAND</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Kylie Ghee</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0740831100</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manager@wongaibeachhotel.com.au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www.wongaibeachhotel.com.au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2026-07-30 07:21</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_Toc0000000009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_Toc0000000011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_Toc0000000012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Steps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_Toc0000000014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_Toc0000000015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_Toc0000000016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_Toc0000000017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Swimming pools, spas and waterparks</w:t>
          </w:r>
          <w:r>
            <w:rPr/>
            <w:tab/>
            <w:t xml:space="preserve"/>
          </w:r>
          <w:r>
            <w:rPr/>
            <w:fldChar w:fldCharType="begin"/>
          </w:r>
          <w:r>
            <w:rPr/>
            <w:instrText xml:space="preserve">PAGEREF _Toc0000000018 \h</w:instrText>
          </w:r>
          <w:r>
            <w:rPr/>
            <w:fldChar w:fldCharType="separate"/>
          </w:r>
          <w:r>
            <w:rPr/>
            <w:t xml:space="preserve">12</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_Toc0000000019 \h</w:instrText>
          </w:r>
          <w:r>
            <w:rPr/>
            <w:fldChar w:fldCharType="separate"/>
          </w:r>
          <w:r>
            <w:rPr/>
            <w:t xml:space="preserve">13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_Toc0000000020 \h</w:instrText>
          </w:r>
          <w:r>
            <w:rPr/>
            <w:fldChar w:fldCharType="separate"/>
          </w:r>
          <w:r>
            <w:rPr/>
            <w:t xml:space="preserve">13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_Toc0000000021 \h</w:instrText>
          </w:r>
          <w:r>
            <w:rPr/>
            <w:fldChar w:fldCharType="separate"/>
          </w:r>
          <w:r>
            <w:rPr/>
            <w:t xml:space="preserve">19</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pStyle w:val="ListBullet"/>
        <w:numPr>
          <w:ilvl w:val="0"/>
          <w:numId w:val="35"/>
        </w:numPr>
        <w:spacing/>
        <w:rPr/>
      </w:pPr>
      <w:r>
        <w:rPr/>
        <w:t xml:space="preserve">Food and Drink</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21082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21082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pStyle w:val="ListBullet"/>
        <w:numPr>
          <w:ilvl w:val="0"/>
          <w:numId w:val="35"/>
        </w:numPr>
        <w:spacing/>
        <w:rPr/>
      </w:pPr>
      <w:r>
        <w:rPr/>
        <w:t xml:space="preserve">Our forms have high contract boxes and submit boxes</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Staff are trained to ensure exit access is free and clear at all times.</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to the emergency evacuation point does not include stairways</w:t>
      </w:r>
    </w:p>
    <w:p>
      <w:pPr>
        <w:pStyle w:val="ListBullet"/>
        <w:numPr>
          <w:ilvl w:val="0"/>
          <w:numId w:val="35"/>
        </w:numPr>
        <w:spacing/>
        <w:rPr/>
      </w:pPr>
      <w:r>
        <w:rPr/>
        <w:t xml:space="preserve">The evacuation point is clearly marked by a sign</w:t>
      </w:r>
    </w:p>
    <w:p>
      <w:pPr>
        <w:spacing/>
        <w:rPr/>
      </w:pPr>
      <w:r>
        <w:rPr/>
        <w:t xml:space="preserve">The business identifies guests who need additional assistance should an emergency occur by: </w:t>
      </w:r>
    </w:p>
    <w:p>
      <w:pPr>
        <w:pBdr/>
        <w:spacing/>
        <w:rPr/>
      </w:pPr>
      <w:r>
        <w:rPr/>
        <w:t xml:space="preserve">Staff note guest needs for additional assistance in the guest notes.</w:t>
      </w:r>
    </w:p>
    <w:p>
      <w:pPr>
        <w:spacing/>
        <w:rPr/>
      </w:pPr>
      <w:r>
        <w:rPr/>
        <w:t xml:space="preserve">The procedure for assisting guests who need assisted rescue is: </w:t>
      </w:r>
    </w:p>
    <w:p>
      <w:pPr>
        <w:pBdr/>
        <w:spacing/>
        <w:rPr/>
      </w:pPr>
      <w:r>
        <w:rPr/>
        <w:t xml:space="preserve">We will nominate a staff member to personally assist this person.</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https://www.wongaibeachhotel.com.au/accessible-tourism/</w:t>
      </w:r>
    </w:p>
    <w:p>
      <w:pPr>
        <w:pStyle w:val="ListBullet"/>
        <w:numPr>
          <w:ilvl w:val="0"/>
          <w:numId w:val="35"/>
        </w:numPr>
        <w:spacing/>
        <w:rPr/>
      </w:pPr>
      <w:r>
        <w:rPr/>
        <w:t xml:space="preserve">Our website meets WCAG 2.0 accessibility standards</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pStyle w:val="ListBullet"/>
        <w:numPr>
          <w:ilvl w:val="0"/>
          <w:numId w:val="35"/>
        </w:numPr>
        <w:spacing/>
        <w:rPr/>
      </w:pPr>
      <w:r>
        <w:rPr/>
        <w:t xml:space="preserve">Magnifiers</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Guide Dog and Service Animals</w:t>
      </w:r>
      <w:bookmarkEnd w:id="10"/>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We have a shaded area outside reception with water bowl provided. We can also access a small gated courtyard for a longer or quieter stay.</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clipboard to allow check-in/ticket purchase whilst seated</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Large print information sheets and registration forms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Keys are available for each guest</w:t>
      </w:r>
    </w:p>
    <w:p>
      <w:pPr>
        <w:pStyle w:val="ListBullet"/>
        <w:numPr>
          <w:ilvl w:val="0"/>
          <w:numId w:val="35"/>
        </w:numPr>
        <w:spacing/>
        <w:rPr/>
      </w:pPr>
      <w:r>
        <w:rPr/>
        <w:t xml:space="preserve">Luggage assistance</w:t>
      </w:r>
    </w:p>
    <w:p>
      <w:pPr>
        <w:pStyle w:val="ListBullet"/>
        <w:numPr>
          <w:ilvl w:val="0"/>
          <w:numId w:val="35"/>
        </w:numPr>
        <w:spacing/>
        <w:rPr/>
      </w:pPr>
      <w:r>
        <w:rPr/>
        <w:t xml:space="preserve">In addition, the following further information can assist guests:</w:t>
      </w:r>
    </w:p>
    <w:p>
      <w:pPr>
        <w:spacing/>
        <w:rPr/>
      </w:pPr>
      <w:r>
        <w:rPr/>
        <w:t xml:space="preserve">We offer seating at reception.</w:t>
      </w:r>
    </w:p>
    <w:p>
      <w:pPr>
        <w:pStyle w:val="ListBullet"/>
        <w:numPr>
          <w:ilvl w:val="0"/>
          <w:numId w:val="35"/>
        </w:numPr>
        <w:spacing/>
        <w:rPr/>
      </w:pPr>
      <w:r>
        <w:rPr/>
        <w:t xml:space="preserve">In addition, the following further information can assist guests:</w:t>
      </w:r>
    </w:p>
    <w:p>
      <w:pPr>
        <w:spacing/>
        <w:rPr/>
      </w:pPr>
      <w:r>
        <w:rPr/>
        <w:t xml:space="preserve">Social script downloadable from the website.</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A "social script" guide to your premises or attraction describing the sights, sounds and smells to aid parents/carers prepare visitors in advance</w:t>
      </w:r>
    </w:p>
    <w:p>
      <w:pPr>
        <w:pStyle w:val="ListBullet"/>
        <w:numPr>
          <w:ilvl w:val="0"/>
          <w:numId w:val="35"/>
        </w:numPr>
        <w:spacing/>
        <w:rPr/>
      </w:pPr>
      <w:r>
        <w:rPr/>
        <w:t xml:space="preserve">The 'social script' is available in word and other editable formats</w:t>
      </w:r>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Level or ramped access from the car park to the entrance</w:t>
      </w:r>
    </w:p>
    <w:p>
      <w:pPr>
        <w:spacing/>
        <w:rPr/>
      </w:pPr>
      <w:r>
        <w:rPr/>
        <w:t xml:space="preserve"> </w:t>
      </w:r>
    </w:p>
    <w:p>
      <w:pPr>
        <w:pStyle w:val="Heading2"/>
        <w:spacing/>
        <w:rPr/>
      </w:pPr>
      <w:bookmarkStart w:id="15" w:name="_Toc0000000011"/>
      <w:r>
        <w:rPr/>
        <w:t xml:space="preserve">Internal Spaces</w:t>
      </w:r>
      <w:bookmarkEnd w:id="15"/>
    </w:p>
    <w:p>
      <w:pPr>
        <w:pStyle w:val="ListBullet"/>
        <w:numPr>
          <w:ilvl w:val="0"/>
          <w:numId w:val="35"/>
        </w:numPr>
        <w:spacing/>
        <w:rPr/>
      </w:pPr>
      <w:r>
        <w:rPr/>
        <w:t xml:space="preserve">Menus are available in large print or Braille</w:t>
      </w:r>
    </w:p>
    <w:p>
      <w:pPr>
        <w:pStyle w:val="ListBullet"/>
        <w:numPr>
          <w:ilvl w:val="0"/>
          <w:numId w:val="35"/>
        </w:numPr>
        <w:spacing/>
        <w:rPr/>
      </w:pPr>
      <w:r>
        <w:rPr/>
        <w:t xml:space="preserve">Tableware/glassware contrast with the table surface or table cloth</w:t>
      </w:r>
    </w:p>
    <w:p>
      <w:pPr>
        <w:spacing/>
        <w:rPr/>
      </w:pPr>
      <w:r>
        <w:rPr/>
        <w:t xml:space="preserve"> </w:t>
      </w:r>
    </w:p>
    <w:p>
      <w:pPr>
        <w:pStyle w:val="Heading2"/>
        <w:spacing/>
        <w:rPr/>
      </w:pPr>
      <w:bookmarkStart w:id="16" w:name="_Toc0000000012"/>
      <w:r>
        <w:rPr/>
        <w:t xml:space="preserve">External Paths</w:t>
      </w:r>
      <w:bookmarkEnd w:id="16"/>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spacing/>
        <w:rPr/>
      </w:pPr>
      <w:r>
        <w:rPr/>
        <w:t xml:space="preserve"> </w:t>
      </w:r>
    </w:p>
    <w:p>
      <w:pPr>
        <w:pStyle w:val="Heading2"/>
        <w:spacing/>
        <w:rPr/>
      </w:pPr>
      <w:bookmarkStart w:id="17" w:name="_Toc0000000013"/>
      <w:r>
        <w:rPr/>
        <w:t xml:space="preserve">Steps</w:t>
      </w:r>
      <w:bookmarkEnd w:id="17"/>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Where steps are present are there three steps or less</w:t>
      </w:r>
    </w:p>
    <w:p>
      <w:pPr>
        <w:pStyle w:val="ListBullet"/>
        <w:numPr>
          <w:ilvl w:val="0"/>
          <w:numId w:val="35"/>
        </w:numPr>
        <w:spacing/>
        <w:rPr/>
      </w:pPr>
      <w:r>
        <w:rPr/>
        <w:t xml:space="preserve">In addition, the following further information can assist guests:</w:t>
      </w:r>
    </w:p>
    <w:p>
      <w:pPr>
        <w:spacing/>
        <w:rPr/>
      </w:pPr>
      <w:r>
        <w:rPr/>
        <w:t xml:space="preserve">Room 101-104 has deep, concrete steps without a handrail. Room 105-121 have 2 or 3 wooden steps with a handrail.</w:t>
      </w:r>
    </w:p>
    <w:p>
      <w:pPr>
        <w:pStyle w:val="Heading1"/>
        <w:spacing/>
        <w:rPr/>
      </w:pPr>
      <w:bookmarkStart w:id="18" w:name="_Toc0000000014"/>
      <w:r>
        <w:rPr/>
        <w:t xml:space="preserve">ACCOMMODATION</w:t>
      </w:r>
      <w:bookmarkEnd w:id="18"/>
    </w:p>
    <w:p>
      <w:pPr>
        <w:spacing/>
        <w:rPr/>
      </w:pPr>
      <w:r>
        <w:rPr/>
        <w:t xml:space="preserve"> </w:t>
      </w:r>
    </w:p>
    <w:p>
      <w:pPr>
        <w:pStyle w:val="Heading2"/>
        <w:spacing/>
        <w:rPr/>
      </w:pPr>
      <w:bookmarkStart w:id="19" w:name="_Toc0000000015"/>
      <w:r>
        <w:rPr/>
        <w:t xml:space="preserve">Room Amenities</w:t>
      </w:r>
      <w:bookmarkEnd w:id="19"/>
    </w:p>
    <w:p>
      <w:pPr>
        <w:pStyle w:val="ListBullet"/>
        <w:numPr>
          <w:ilvl w:val="0"/>
          <w:numId w:val="35"/>
        </w:numPr>
        <w:spacing/>
        <w:rPr/>
      </w:pPr>
      <w:r>
        <w:rPr/>
        <w:t xml:space="preserve">In addition, the following further information can assist guests:</w:t>
      </w:r>
    </w:p>
    <w:p>
      <w:pPr>
        <w:spacing/>
        <w:rPr/>
      </w:pPr>
      <w:r>
        <w:rPr/>
        <w:t xml:space="preserve">Notes on guest file and staff member allocated to assist evacuation.</w:t>
      </w:r>
    </w:p>
    <w:p>
      <w:pPr>
        <w:pStyle w:val="ListBullet"/>
        <w:numPr>
          <w:ilvl w:val="0"/>
          <w:numId w:val="35"/>
        </w:numPr>
        <w:spacing/>
        <w:rPr/>
      </w:pPr>
      <w:r>
        <w:rPr/>
        <w:t xml:space="preserve">Televisions are equipped with closed captioning capability</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Wardrobe handles are a contrasting colour to the doors and draws</w:t>
      </w:r>
    </w:p>
    <w:p>
      <w:pPr>
        <w:pStyle w:val="ListBullet"/>
        <w:numPr>
          <w:ilvl w:val="0"/>
          <w:numId w:val="35"/>
        </w:numPr>
        <w:spacing/>
        <w:rPr/>
      </w:pPr>
      <w:r>
        <w:rPr/>
        <w:t xml:space="preserve">Housekeeping procedures instruct staff not to reposition furniture that has been moved</w:t>
      </w:r>
    </w:p>
    <w:p>
      <w:pPr>
        <w:pStyle w:val="ListBullet"/>
        <w:numPr>
          <w:ilvl w:val="0"/>
          <w:numId w:val="35"/>
        </w:numPr>
        <w:spacing/>
        <w:rPr/>
      </w:pPr>
      <w:r>
        <w:rPr/>
        <w:t xml:space="preserve">Doors open fully against the adjoining wall</w:t>
      </w:r>
    </w:p>
    <w:p>
      <w:pPr>
        <w:pStyle w:val="ListBullet"/>
        <w:numPr>
          <w:ilvl w:val="0"/>
          <w:numId w:val="35"/>
        </w:numPr>
        <w:spacing/>
        <w:rPr/>
      </w:pPr>
      <w:r>
        <w:rPr/>
        <w:t xml:space="preserve">There is a clear opening at least 850mm wide</w:t>
      </w:r>
    </w:p>
    <w:p>
      <w:pPr>
        <w:pStyle w:val="ListBullet"/>
        <w:numPr>
          <w:ilvl w:val="0"/>
          <w:numId w:val="35"/>
        </w:numPr>
        <w:spacing/>
        <w:rPr/>
      </w:pPr>
      <w:r>
        <w:rPr/>
        <w:t xml:space="preserve">Wardrobe and drawer handles are easy to grip</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There is at least 850mm clear space beside the bed</w:t>
      </w:r>
    </w:p>
    <w:p>
      <w:pPr>
        <w:pStyle w:val="ListBullet"/>
        <w:numPr>
          <w:ilvl w:val="0"/>
          <w:numId w:val="35"/>
        </w:numPr>
        <w:spacing/>
        <w:rPr/>
      </w:pPr>
      <w:r>
        <w:rPr/>
        <w:t xml:space="preserve">The bed height is no higher than 680mm from the floor</w:t>
      </w:r>
    </w:p>
    <w:p>
      <w:pPr>
        <w:pStyle w:val="ListBullet"/>
        <w:numPr>
          <w:ilvl w:val="0"/>
          <w:numId w:val="35"/>
        </w:numPr>
        <w:spacing/>
        <w:rPr/>
      </w:pPr>
      <w:r>
        <w:rPr/>
        <w:t xml:space="preserve">There is at least 130mm clearance under the bed</w:t>
      </w:r>
    </w:p>
    <w:p>
      <w:pPr>
        <w:spacing/>
        <w:rPr/>
      </w:pPr>
      <w:r>
        <w:rPr/>
        <w:t xml:space="preserve"> </w:t>
      </w:r>
    </w:p>
    <w:p>
      <w:pPr>
        <w:pStyle w:val="Heading2"/>
        <w:spacing/>
        <w:rPr/>
      </w:pPr>
      <w:bookmarkStart w:id="20" w:name="_Toc0000000016"/>
      <w:r>
        <w:rPr/>
        <w:t xml:space="preserve">Bathrooms</w:t>
      </w:r>
      <w:bookmarkEnd w:id="20"/>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 width beside the toilet is 250.</w:t>
      </w:r>
    </w:p>
    <w:p>
      <w:pPr>
        <w:pStyle w:val="ListBullet"/>
        <w:numPr>
          <w:ilvl w:val="0"/>
          <w:numId w:val="35"/>
        </w:numPr>
        <w:spacing/>
        <w:rPr/>
      </w:pPr>
      <w:r>
        <w:rPr/>
        <w:t xml:space="preserve">There is 900 mm of clear space in front of the toilet</w:t>
      </w:r>
    </w:p>
    <w:p>
      <w:pPr>
        <w:pStyle w:val="ListBullet"/>
        <w:numPr>
          <w:ilvl w:val="0"/>
          <w:numId w:val="35"/>
        </w:numPr>
        <w:spacing/>
        <w:rPr/>
      </w:pPr>
      <w:r>
        <w:rPr/>
        <w:t xml:space="preserve">The toilet seat is a contrasting colour to the floor</w:t>
      </w:r>
    </w:p>
    <w:p>
      <w:pPr>
        <w:pStyle w:val="ListBullet"/>
        <w:numPr>
          <w:ilvl w:val="0"/>
          <w:numId w:val="35"/>
        </w:numPr>
        <w:spacing/>
        <w:rPr/>
      </w:pPr>
      <w:r>
        <w:rPr/>
        <w:t xml:space="preserve">The toilet seat is 460mm above the floor</w:t>
      </w:r>
    </w:p>
    <w:p>
      <w:pPr>
        <w:pStyle w:val="Subtitle"/>
        <w:spacing/>
        <w:rPr/>
      </w:pPr>
      <w:r>
        <w:rPr/>
        <w:t xml:space="preserve">Bathroom Image(s)</w:t>
      </w:r>
    </w:p>
    <w:p>
      <w:pPr>
        <w:spacing/>
        <w:rPr/>
      </w:pPr>
      <w:r>
        <w:rPr/>
        <w:drawing>
          <wp:inline>
            <wp:extent cx="1905000" cy="2540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1905000" cy="2540000"/>
                    </a:xfrm>
                    <a:prstGeom prst="rect">
                      <a:avLst/>
                    </a:prstGeom>
                  </pic:spPr>
                </pic:pic>
              </a:graphicData>
            </a:graphic>
          </wp:inline>
        </w:drawing>
      </w:r>
    </w:p>
    <w:p>
      <w:pPr>
        <w:spacing/>
        <w:rPr/>
      </w:pPr>
      <w:r>
        <w:rPr/>
        <w:t xml:space="preserve">IMG_1876.JPG</w:t>
      </w:r>
    </w:p>
    <w:p>
      <w:pPr>
        <w:spacing/>
        <w:rPr/>
      </w:pPr>
      <w:r>
        <w:rPr/>
        <w:drawing>
          <wp:inline>
            <wp:extent cx="1905000" cy="2540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1905000" cy="2540000"/>
                    </a:xfrm>
                    <a:prstGeom prst="rect">
                      <a:avLst/>
                    </a:prstGeom>
                  </pic:spPr>
                </pic:pic>
              </a:graphicData>
            </a:graphic>
          </wp:inline>
        </w:drawing>
      </w:r>
    </w:p>
    <w:p>
      <w:pPr>
        <w:spacing/>
        <w:rPr/>
      </w:pPr>
      <w:r>
        <w:rPr/>
        <w:t xml:space="preserve">IMG_1877.JPG</w:t>
      </w:r>
    </w:p>
    <w:p>
      <w:pPr>
        <w:spacing/>
        <w:rPr/>
      </w:pPr>
      <w:r>
        <w:rPr/>
        <w:drawing>
          <wp:inline>
            <wp:extent cx="1905000" cy="25400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1905000" cy="2540000"/>
                    </a:xfrm>
                    <a:prstGeom prst="rect">
                      <a:avLst/>
                    </a:prstGeom>
                  </pic:spPr>
                </pic:pic>
              </a:graphicData>
            </a:graphic>
          </wp:inline>
        </w:drawing>
      </w:r>
    </w:p>
    <w:p>
      <w:pPr>
        <w:spacing/>
        <w:rPr/>
      </w:pPr>
      <w:r>
        <w:rPr/>
        <w:t xml:space="preserve">IMG_1878.JPG</w:t>
      </w:r>
    </w:p>
    <w:p>
      <w:pPr>
        <w:spacing/>
        <w:rPr/>
      </w:pPr>
      <w:r>
        <w:rPr/>
        <w:drawing>
          <wp:inline>
            <wp:extent cx="2540000" cy="19050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2540000" cy="1905000"/>
                    </a:xfrm>
                    <a:prstGeom prst="rect">
                      <a:avLst/>
                    </a:prstGeom>
                  </pic:spPr>
                </pic:pic>
              </a:graphicData>
            </a:graphic>
          </wp:inline>
        </w:drawing>
      </w:r>
    </w:p>
    <w:p>
      <w:pPr>
        <w:spacing/>
        <w:rPr/>
      </w:pPr>
      <w:r>
        <w:rPr/>
        <w:t xml:space="preserve">IMG_1865.JPG</w:t>
      </w:r>
    </w:p>
    <w:p>
      <w:pPr>
        <w:pStyle w:val="Heading1"/>
        <w:spacing/>
        <w:rPr/>
      </w:pPr>
      <w:bookmarkStart w:id="21" w:name="_Toc0000000017"/>
      <w:r>
        <w:rPr/>
        <w:t xml:space="preserve">COMMON AREAS</w:t>
      </w:r>
      <w:bookmarkEnd w:id="21"/>
    </w:p>
    <w:p>
      <w:pPr>
        <w:spacing/>
        <w:rPr/>
      </w:pPr>
      <w:r>
        <w:rPr/>
        <w:t xml:space="preserve"> </w:t>
      </w:r>
    </w:p>
    <w:p>
      <w:pPr>
        <w:pStyle w:val="Heading2"/>
        <w:spacing/>
        <w:rPr/>
      </w:pPr>
      <w:bookmarkStart w:id="22" w:name="_Toc0000000018"/>
      <w:r>
        <w:rPr/>
        <w:t xml:space="preserve">Swimming pools, spas and waterparks</w:t>
      </w:r>
      <w:bookmarkEnd w:id="22"/>
    </w:p>
    <w:p>
      <w:pPr>
        <w:pStyle w:val="ListBullet"/>
        <w:numPr>
          <w:ilvl w:val="0"/>
          <w:numId w:val="35"/>
        </w:numPr>
        <w:spacing/>
        <w:rPr/>
      </w:pPr>
      <w:r>
        <w:rPr/>
        <w:t xml:space="preserve">The following swimming pools, spas and waterparks amenities are available</w:t>
      </w:r>
    </w:p>
    <w:p>
      <w:pPr>
        <w:pStyle w:val="Heading1"/>
        <w:spacing/>
        <w:rPr/>
      </w:pPr>
      <w:bookmarkStart w:id="23" w:name="_Toc0000000019"/>
      <w:r>
        <w:rPr/>
        <w:t xml:space="preserve">FOOD AND DRINK</w:t>
      </w:r>
      <w:bookmarkEnd w:id="23"/>
    </w:p>
    <w:p>
      <w:pPr>
        <w:spacing/>
        <w:rPr/>
      </w:pPr>
      <w:r>
        <w:rPr/>
        <w:t xml:space="preserve"> </w:t>
      </w:r>
    </w:p>
    <w:p>
      <w:pPr>
        <w:pStyle w:val="Heading2"/>
        <w:spacing/>
        <w:rPr/>
      </w:pPr>
      <w:bookmarkStart w:id="24" w:name="_Toc0000000020"/>
      <w:r>
        <w:rPr/>
        <w:t xml:space="preserve">Dining Spaces</w:t>
      </w:r>
      <w:bookmarkEnd w:id="24"/>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All glass doors and full height windows have contrast markings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are large print menus</w:t>
      </w:r>
    </w:p>
    <w:p>
      <w:pPr>
        <w:pStyle w:val="ListBullet"/>
        <w:numPr>
          <w:ilvl w:val="0"/>
          <w:numId w:val="35"/>
        </w:numPr>
        <w:spacing/>
        <w:rPr/>
      </w:pPr>
      <w:r>
        <w:rPr/>
        <w:t xml:space="preserve">There are Plain English menus</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Nut free</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In addition, the following further information can assist guests:</w:t>
      </w:r>
    </w:p>
    <w:p>
      <w:pPr>
        <w:spacing/>
        <w:rPr/>
      </w:pPr>
      <w:r>
        <w:rPr/>
        <w:t xml:space="preserve">Seperate fryer and equipment used for gluten intolerance. Seperate equipment and prep area used for vegetarian and vegan.</w:t>
      </w:r>
    </w:p>
    <w:p>
      <w:pPr>
        <w:pStyle w:val="Subtitle"/>
        <w:spacing/>
        <w:rPr/>
      </w:pPr>
      <w:r>
        <w:rPr/>
        <w:t xml:space="preserve">Food and Beverage Image(s)</w:t>
      </w:r>
    </w:p>
    <w:p>
      <w:pPr>
        <w:spacing/>
        <w:rPr/>
      </w:pPr>
      <w:r>
        <w:rPr/>
        <w:drawing>
          <wp:inline>
            <wp:extent cx="1905000" cy="25400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1905000" cy="2540000"/>
                    </a:xfrm>
                    <a:prstGeom prst="rect">
                      <a:avLst/>
                    </a:prstGeom>
                  </pic:spPr>
                </pic:pic>
              </a:graphicData>
            </a:graphic>
          </wp:inline>
        </w:drawing>
      </w:r>
    </w:p>
    <w:p>
      <w:pPr>
        <w:spacing/>
        <w:rPr/>
      </w:pPr>
      <w:r>
        <w:rPr/>
        <w:t xml:space="preserve">IMG_1879.JPG</w:t>
      </w:r>
    </w:p>
    <w:p>
      <w:pPr>
        <w:spacing/>
        <w:rPr/>
      </w:pPr>
      <w:r>
        <w:rPr/>
        <w:drawing>
          <wp:inline>
            <wp:extent cx="1905000" cy="2540000"/>
            <wp:docPr id="7"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1905000" cy="2540000"/>
                    </a:xfrm>
                    <a:prstGeom prst="rect">
                      <a:avLst/>
                    </a:prstGeom>
                  </pic:spPr>
                </pic:pic>
              </a:graphicData>
            </a:graphic>
          </wp:inline>
        </w:drawing>
      </w:r>
    </w:p>
    <w:p>
      <w:pPr>
        <w:spacing/>
        <w:rPr/>
      </w:pPr>
      <w:r>
        <w:rPr/>
        <w:t xml:space="preserve">IMG_1880.JPG</w:t>
      </w:r>
    </w:p>
    <w:p>
      <w:pPr>
        <w:spacing/>
        <w:rPr/>
      </w:pPr>
      <w:r>
        <w:rPr/>
        <w:drawing>
          <wp:inline>
            <wp:extent cx="1905000" cy="2540000"/>
            <wp:docPr id="8"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a:srcRect/>
                    <a:stretch>
                      <a:fillRect/>
                    </a:stretch>
                  </pic:blipFill>
                  <pic:spPr bwMode="auto">
                    <a:xfrm>
                      <a:off x="0" y="0"/>
                      <a:ext cx="1905000" cy="2540000"/>
                    </a:xfrm>
                    <a:prstGeom prst="rect">
                      <a:avLst/>
                    </a:prstGeom>
                  </pic:spPr>
                </pic:pic>
              </a:graphicData>
            </a:graphic>
          </wp:inline>
        </w:drawing>
      </w:r>
    </w:p>
    <w:p>
      <w:pPr>
        <w:spacing/>
        <w:rPr/>
      </w:pPr>
      <w:r>
        <w:rPr/>
        <w:t xml:space="preserve">IMG_1881.JPG</w:t>
      </w:r>
    </w:p>
    <w:p>
      <w:pPr>
        <w:spacing/>
        <w:rPr/>
      </w:pPr>
      <w:r>
        <w:rPr/>
        <w:drawing>
          <wp:inline>
            <wp:extent cx="1905000" cy="2540000"/>
            <wp:docPr id="9"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
                    <a:srcRect/>
                    <a:stretch>
                      <a:fillRect/>
                    </a:stretch>
                  </pic:blipFill>
                  <pic:spPr bwMode="auto">
                    <a:xfrm>
                      <a:off x="0" y="0"/>
                      <a:ext cx="1905000" cy="2540000"/>
                    </a:xfrm>
                    <a:prstGeom prst="rect">
                      <a:avLst/>
                    </a:prstGeom>
                  </pic:spPr>
                </pic:pic>
              </a:graphicData>
            </a:graphic>
          </wp:inline>
        </w:drawing>
      </w:r>
    </w:p>
    <w:p>
      <w:pPr>
        <w:spacing/>
        <w:rPr/>
      </w:pPr>
      <w:r>
        <w:rPr/>
        <w:t xml:space="preserve">IMG_1882.JPG</w:t>
      </w:r>
    </w:p>
    <w:p>
      <w:pPr>
        <w:spacing/>
        <w:rPr/>
      </w:pPr>
      <w:r>
        <w:rPr/>
        <w:drawing>
          <wp:inline>
            <wp:extent cx="1905000" cy="2540000"/>
            <wp:docPr id="10"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1"/>
                    <a:srcRect/>
                    <a:stretch>
                      <a:fillRect/>
                    </a:stretch>
                  </pic:blipFill>
                  <pic:spPr bwMode="auto">
                    <a:xfrm>
                      <a:off x="0" y="0"/>
                      <a:ext cx="1905000" cy="2540000"/>
                    </a:xfrm>
                    <a:prstGeom prst="rect">
                      <a:avLst/>
                    </a:prstGeom>
                  </pic:spPr>
                </pic:pic>
              </a:graphicData>
            </a:graphic>
          </wp:inline>
        </w:drawing>
      </w:r>
    </w:p>
    <w:p>
      <w:pPr>
        <w:spacing/>
        <w:rPr/>
      </w:pPr>
      <w:r>
        <w:rPr/>
        <w:t xml:space="preserve">IMG_1883.JPG</w:t>
      </w:r>
    </w:p>
    <w:p>
      <w:pPr>
        <w:spacing/>
        <w:rPr/>
      </w:pPr>
      <w:r>
        <w:rPr/>
        <w:drawing>
          <wp:inline>
            <wp:extent cx="1905000" cy="2540000"/>
            <wp:docPr id="11" name="Picture 1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2"/>
                    <a:srcRect/>
                    <a:stretch>
                      <a:fillRect/>
                    </a:stretch>
                  </pic:blipFill>
                  <pic:spPr bwMode="auto">
                    <a:xfrm>
                      <a:off x="0" y="0"/>
                      <a:ext cx="1905000" cy="2540000"/>
                    </a:xfrm>
                    <a:prstGeom prst="rect">
                      <a:avLst/>
                    </a:prstGeom>
                  </pic:spPr>
                </pic:pic>
              </a:graphicData>
            </a:graphic>
          </wp:inline>
        </w:drawing>
      </w:r>
    </w:p>
    <w:p>
      <w:pPr>
        <w:spacing/>
        <w:rPr/>
      </w:pPr>
      <w:r>
        <w:rPr/>
        <w:t xml:space="preserve">IMG_1884.JPG</w:t>
      </w:r>
    </w:p>
    <w:p>
      <w:pPr>
        <w:spacing/>
        <w:rPr/>
      </w:pPr>
      <w:r>
        <w:rPr/>
        <w:drawing>
          <wp:inline>
            <wp:extent cx="1905000" cy="2540000"/>
            <wp:docPr id="12" name="Picture 1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3"/>
                    <a:srcRect/>
                    <a:stretch>
                      <a:fillRect/>
                    </a:stretch>
                  </pic:blipFill>
                  <pic:spPr bwMode="auto">
                    <a:xfrm>
                      <a:off x="0" y="0"/>
                      <a:ext cx="1905000" cy="2540000"/>
                    </a:xfrm>
                    <a:prstGeom prst="rect">
                      <a:avLst/>
                    </a:prstGeom>
                  </pic:spPr>
                </pic:pic>
              </a:graphicData>
            </a:graphic>
          </wp:inline>
        </w:drawing>
      </w:r>
    </w:p>
    <w:p>
      <w:pPr>
        <w:spacing/>
        <w:rPr/>
      </w:pPr>
      <w:r>
        <w:rPr/>
        <w:t xml:space="preserve">IMG_1885.JPG</w:t>
      </w:r>
    </w:p>
    <w:p>
      <w:pPr>
        <w:spacing/>
        <w:rPr/>
      </w:pPr>
      <w:r>
        <w:rPr/>
        <w:drawing>
          <wp:inline>
            <wp:extent cx="1905000" cy="2540000"/>
            <wp:docPr id="13" name="Picture 1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4"/>
                    <a:srcRect/>
                    <a:stretch>
                      <a:fillRect/>
                    </a:stretch>
                  </pic:blipFill>
                  <pic:spPr bwMode="auto">
                    <a:xfrm>
                      <a:off x="0" y="0"/>
                      <a:ext cx="1905000" cy="2540000"/>
                    </a:xfrm>
                    <a:prstGeom prst="rect">
                      <a:avLst/>
                    </a:prstGeom>
                  </pic:spPr>
                </pic:pic>
              </a:graphicData>
            </a:graphic>
          </wp:inline>
        </w:drawing>
      </w:r>
    </w:p>
    <w:p>
      <w:pPr>
        <w:spacing/>
        <w:rPr/>
      </w:pPr>
      <w:r>
        <w:rPr/>
        <w:t xml:space="preserve">IMG_1886.JPG</w:t>
      </w:r>
    </w:p>
    <w:p>
      <w:pPr>
        <w:spacing/>
        <w:rPr/>
      </w:pPr>
      <w:r>
        <w:rPr/>
        <w:drawing>
          <wp:inline>
            <wp:extent cx="1905000" cy="2540000"/>
            <wp:docPr id="14" name="Picture 1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5"/>
                    <a:srcRect/>
                    <a:stretch>
                      <a:fillRect/>
                    </a:stretch>
                  </pic:blipFill>
                  <pic:spPr bwMode="auto">
                    <a:xfrm>
                      <a:off x="0" y="0"/>
                      <a:ext cx="1905000" cy="2540000"/>
                    </a:xfrm>
                    <a:prstGeom prst="rect">
                      <a:avLst/>
                    </a:prstGeom>
                  </pic:spPr>
                </pic:pic>
              </a:graphicData>
            </a:graphic>
          </wp:inline>
        </w:drawing>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IMG_1887.JPG</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5" w:name="_Toc0000000021"/>
      <w:r>
        <w:rPr/>
        <w:t xml:space="preserve">Report Disclaimer</w:t>
      </w:r>
      <w:bookmarkEnd w:id="25"/>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602D4120"/>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16" Type="http://schemas.openxmlformats.org/officeDocument/2006/relationships/styles" Target="styles.xml" /><Relationship Id="rId17" Type="http://schemas.openxmlformats.org/officeDocument/2006/relationships/settings" Target="settings.xml" /><Relationship Id="rId18" Type="http://schemas.openxmlformats.org/officeDocument/2006/relationships/theme" Target="theme/theme1.xml" /><Relationship Id="rId19" Type="http://schemas.openxmlformats.org/officeDocument/2006/relationships/numbering" Target="numbering.xml" /><Relationship Id="rId1" Type="http://schemas.openxmlformats.org/officeDocument/2006/relationships/footer" Target="footer1.xml" /><Relationship Id="rId20" Type="http://schemas.openxmlformats.org/officeDocument/2006/relationships/fontTable" Target="fontTable.xml" /><Relationship Id="rId2" Type="http://schemas.openxmlformats.org/officeDocument/2006/relationships/image" Target="media/image1.jpe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8" Type="http://schemas.openxmlformats.org/officeDocument/2006/relationships/image" Target="media/image7.jpeg" /><Relationship Id="rId9" Type="http://schemas.openxmlformats.org/officeDocument/2006/relationships/image" Target="media/image8.jpeg" /><Relationship Id="rId10" Type="http://schemas.openxmlformats.org/officeDocument/2006/relationships/image" Target="media/image9.jpeg" /><Relationship Id="rId11" Type="http://schemas.openxmlformats.org/officeDocument/2006/relationships/image" Target="media/image10.jpeg" /><Relationship Id="rId12" Type="http://schemas.openxmlformats.org/officeDocument/2006/relationships/image" Target="media/image11.jpeg" /><Relationship Id="rId13" Type="http://schemas.openxmlformats.org/officeDocument/2006/relationships/image" Target="media/image12.jpeg" /><Relationship Id="rId14" Type="http://schemas.openxmlformats.org/officeDocument/2006/relationships/image" Target="media/image13.jpeg" /><Relationship Id="rId15" Type="http://schemas.openxmlformats.org/officeDocument/2006/relationships/image" Target="media/image14.jpeg" /><Relationship Id="rId21" Type="http://schemas.openxmlformats.org/officeDocument/2006/relationships/customXml" Target="../customXml/item1.xml" /><Relationship Id="rId22" Type="http://schemas.openxmlformats.org/officeDocument/2006/relationships/customXml" Target="../customXml/item2.xml" /><Relationship Id="rId23" Type="http://schemas.openxmlformats.org/officeDocument/2006/relationships/customXml" Target="../customXml/item3.xml" /><Relationship Id="rId24"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