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ibis Mackay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 Christensen Circuit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East Mackay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Adriette  Meyer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07 4898 0000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adriette.meyer@accor.com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https://www.ibismackay.com.au/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2026-06-23 07:06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_Toc0000000024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18</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146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146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https://www.ibismackay.com.au/rooms/accessible-room/</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We will provide services for service animals on request</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We do not allow self check-in.  Check in is always assisted by one of our team</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Always have enough team members to assist, and the team is also trained to notice if guests with disabilities need more urgent assistance, and will give them preference.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Closest bus stop is at the airport, easily accessible by wheelchair</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Can use their room key to enter the car park boomgate, or press the button to take a ticket.</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Ground floor. Available to all public; Has visual floor indicator</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We can provide a quiet space on request.</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No steps in the building</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1900mm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8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accommodation room</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shower and toilet</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bathroom</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Vibrating alarm clocks</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shower and toilet</w:t>
      </w:r>
    </w:p>
    <w:p>
      <w:pPr>
        <w:spacing/>
        <w:rPr/>
      </w:pPr>
      <w:r>
        <w:rPr/>
        <w:drawing>
          <wp:inline>
            <wp:extent cx="2540000" cy="1905000"/>
            <wp:docPr id="6"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room bathroom</w:t>
      </w:r>
    </w:p>
    <w:p>
      <w:pPr>
        <w:pStyle w:val="Heading1"/>
        <w:spacing/>
        <w:rPr/>
      </w:pPr>
      <w:bookmarkStart w:id="26" w:name="_Toc0000000022"/>
      <w:r>
        <w:rPr/>
        <w:t xml:space="preserve">COMMON AREAS</w:t>
      </w:r>
      <w:bookmarkEnd w:id="26"/>
    </w:p>
    <w:p>
      <w:pPr>
        <w:spacing/>
        <w:rPr/>
      </w:pPr>
      <w:r>
        <w:rPr/>
        <w:t xml:space="preserve"> </w:t>
      </w:r>
    </w:p>
    <w:p>
      <w:pPr>
        <w:pStyle w:val="Heading2"/>
        <w:spacing/>
        <w:rPr/>
      </w:pPr>
      <w:bookmarkStart w:id="27" w:name="_Toc0000000023"/>
      <w:r>
        <w:rPr/>
        <w:t xml:space="preserve">Swimming pools, spas and waterparks</w:t>
      </w:r>
      <w:bookmarkEnd w:id="27"/>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2540000" cy="1905000"/>
            <wp:docPr id="7"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Public area accessible toilet</w:t>
      </w:r>
    </w:p>
    <w:p>
      <w:pPr>
        <w:spacing/>
        <w:rPr/>
      </w:pPr>
      <w:r>
        <w:rPr/>
        <w:drawing>
          <wp:inline>
            <wp:extent cx="2540000" cy="1905000"/>
            <wp:docPr id="8"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Public area accessible toilet2</w:t>
      </w:r>
    </w:p>
    <w:p>
      <w:pPr>
        <w:spacing/>
        <w:rPr/>
      </w:pPr>
      <w:r>
        <w:rPr/>
        <w:drawing>
          <wp:inline>
            <wp:extent cx="2540000" cy="1905000"/>
            <wp:docPr id="9"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entrance - public areas</w:t>
      </w:r>
    </w:p>
    <w:p>
      <w:pPr>
        <w:pStyle w:val="Heading1"/>
        <w:spacing/>
        <w:rPr/>
      </w:pPr>
      <w:bookmarkStart w:id="28" w:name="_Toc0000000024"/>
      <w:r>
        <w:rPr/>
        <w:t xml:space="preserve">FOOD AND DRINK</w:t>
      </w:r>
      <w:bookmarkEnd w:id="28"/>
    </w:p>
    <w:p>
      <w:pPr>
        <w:spacing/>
        <w:rPr/>
      </w:pPr>
      <w:r>
        <w:rPr/>
        <w:t xml:space="preserve"> </w:t>
      </w:r>
    </w:p>
    <w:p>
      <w:pPr>
        <w:pStyle w:val="Heading2"/>
        <w:spacing/>
        <w:rPr/>
      </w:pPr>
      <w:bookmarkStart w:id="29" w:name="_Toc0000000025"/>
      <w:r>
        <w:rPr/>
        <w:t xml:space="preserve">Dining Spaces</w:t>
      </w:r>
      <w:bookmarkEnd w:id="29"/>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Store food products separate, use separate kitchen equipment, such as chopping boards, oven trays, knives, etc. to avoid cross contamination.</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https://www.ibismackay.com.au/turbarlencetavern/turbarlence/</w:t>
      </w:r>
    </w:p>
    <w:p>
      <w:pPr>
        <w:pStyle w:val="Subtitle"/>
        <w:spacing/>
        <w:rPr/>
      </w:pPr>
      <w:r>
        <w:rPr/>
        <w:t xml:space="preserve">Food and Beverage Image(s)</w:t>
      </w:r>
    </w:p>
    <w:p>
      <w:pPr>
        <w:spacing/>
        <w:rPr/>
      </w:pPr>
      <w:r>
        <w:rPr/>
        <w:drawing>
          <wp:inline>
            <wp:extent cx="2540000" cy="1905000"/>
            <wp:docPr id="10"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Hotel entrance</w:t>
      </w:r>
    </w:p>
    <w:p>
      <w:pPr>
        <w:spacing/>
        <w:rPr/>
      </w:pPr>
      <w:r>
        <w:rPr/>
        <w:drawing>
          <wp:inline>
            <wp:extent cx="2540000" cy="1905000"/>
            <wp:docPr id="11"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Walkway between restaurant and bar</w:t>
      </w:r>
    </w:p>
    <w:p>
      <w:pPr>
        <w:spacing/>
        <w:rPr/>
      </w:pPr>
      <w:r>
        <w:rPr/>
        <w:drawing>
          <wp:inline>
            <wp:extent cx="2540000" cy="1905000"/>
            <wp:docPr id="12"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Bar showing space around tables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256A021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