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Casey Australia Tours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16 Murphy St</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O'CONNOR</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Tim Casey</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0893394291</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res@caseytours.com.au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caseytours.com.au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2026-06-02 04:42</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Entry</w:t>
          </w:r>
          <w:r>
            <w:rPr/>
            <w:tab/>
            <w:t xml:space="preserve"/>
          </w:r>
          <w:r>
            <w:rPr/>
            <w:fldChar w:fldCharType="begin"/>
          </w:r>
          <w:r>
            <w:rPr/>
            <w:instrText xml:space="preserve">PAGEREF _Toc0000000012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_Toc0000000015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_Toc0000000018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_Toc0000000019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_Toc0000000020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Guides</w:t>
          </w:r>
          <w:r>
            <w:rPr/>
            <w:tab/>
            <w:t xml:space="preserve"/>
          </w:r>
          <w:r>
            <w:rPr/>
            <w:fldChar w:fldCharType="begin"/>
          </w:r>
          <w:r>
            <w:rPr/>
            <w:instrText xml:space="preserve">PAGEREF _Toc0000000021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_Toc0000000022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_Toc0000000023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_Toc0000000024 \h</w:instrText>
          </w:r>
          <w:r>
            <w:rPr/>
            <w:fldChar w:fldCharType="separate"/>
          </w:r>
          <w:r>
            <w:rPr/>
            <w:t xml:space="preserve">14</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11938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1938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There are visual device/s to alert occupants to evacuate.</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Coach aisles are kept clear at all times, except when passengers are embarking/disembarking</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The evacuation point is clearly marked by a sign</w:t>
      </w:r>
    </w:p>
    <w:p>
      <w:pPr>
        <w:spacing/>
        <w:rPr/>
      </w:pPr>
      <w:r>
        <w:rPr/>
        <w:t xml:space="preserve">The business identifies guests who need additional assistance should an emergency occur by: </w:t>
      </w:r>
    </w:p>
    <w:p>
      <w:pPr>
        <w:pBdr/>
        <w:spacing/>
        <w:rPr/>
      </w:pPr>
      <w:r>
        <w:rPr/>
        <w:t xml:space="preserve">Passengers are invited to elaborate on any mobility issues during the booking process</w:t>
      </w:r>
    </w:p>
    <w:p>
      <w:pPr>
        <w:spacing/>
        <w:rPr/>
      </w:pPr>
      <w:r>
        <w:rPr/>
        <w:t xml:space="preserve">The procedure for assisting guests who need assisted rescue is: </w:t>
      </w:r>
    </w:p>
    <w:p>
      <w:pPr>
        <w:pBdr/>
        <w:spacing/>
        <w:rPr/>
      </w:pPr>
      <w:r>
        <w:rPr/>
        <w:t xml:space="preserve">Staff have received first aid training which included procedures for assisting all passengers in emergency situations</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Communication available by phone, text and email and in person</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Not specified</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lower counter at reception/ticket office</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Large print information sheets and registration forms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In addition, the following further information can assist guests:</w:t>
      </w:r>
    </w:p>
    <w:p>
      <w:pPr>
        <w:spacing/>
        <w:rPr/>
      </w:pPr>
      <w:r>
        <w:rPr/>
        <w:t xml:space="preserve">- All phone calls during business hours are answered within three rings. Enquiries are promptly answered - in the occasional event that we can't assist with an enquiry straight away, we commit to calling or email the person back as soon as possible, so they are not left waiting for us.- All emails are replied to within one business day- Any customers visiting our office are seen immediately and offered seating</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The public transport services available are:</w:t>
      </w:r>
    </w:p>
    <w:p>
      <w:pPr>
        <w:spacing/>
        <w:rPr/>
      </w:pPr>
    </w:p>
    <w:p>
      <w:pPr>
        <w:pBdr/>
        <w:spacing/>
        <w:rPr/>
      </w:pPr>
      <w:r>
        <w:rPr/>
        <w:t xml:space="preserve">Closest bus stops: Peel Rd Before Stockdale Rd — about 373 m away, Sainsbury Rd After Hines Rd — about 400 m away, Peel Rd Before Jarvis St — about 422 m away. Closest train station: Murdoch on the Mandurah line</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Self opening entry doors or fitted with a self closer</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Signage is written in a Sans Serif font and use upper and lower case letters</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pStyle w:val="ListBullet"/>
        <w:numPr>
          <w:ilvl w:val="0"/>
          <w:numId w:val="35"/>
        </w:numPr>
        <w:spacing/>
        <w:rPr/>
      </w:pPr>
      <w:r>
        <w:rPr/>
        <w:t xml:space="preserve">In addition, the following further information can assist guests:</w:t>
      </w:r>
    </w:p>
    <w:p>
      <w:pPr>
        <w:spacing/>
        <w:rPr/>
      </w:pPr>
      <w:r>
        <w:rPr/>
        <w:t xml:space="preserve">Premises located on the ground floor only</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Any protruding or overhanging obstructions are at least 2meters above the floor or are protected</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There is a quiet space for parents and children on the Autism Spectrum</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5"/>
        </w:numPr>
        <w:spacing/>
        <w:rPr/>
      </w:pPr>
      <w:r>
        <w:rPr/>
        <w:t xml:space="preserve">Display units, Televisions, Video displays etc. are  open captioned</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spacing/>
        <w:rPr/>
      </w:pPr>
      <w:r>
        <w:rPr/>
        <w:t xml:space="preserve"> </w:t>
      </w:r>
    </w:p>
    <w:p>
      <w:pPr>
        <w:pStyle w:val="Heading2"/>
        <w:spacing/>
        <w:rPr/>
      </w:pPr>
      <w:bookmarkStart w:id="19" w:name="_Toc0000000015"/>
      <w:r>
        <w:rPr/>
        <w:t xml:space="preserve">Displays, exhibits, commentary and live performances</w:t>
      </w:r>
      <w:bookmarkEnd w:id="19"/>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In addition, the following further information can assist guests:</w:t>
      </w:r>
    </w:p>
    <w:p>
      <w:pPr>
        <w:spacing/>
        <w:rPr/>
      </w:pPr>
      <w:r>
        <w:rPr/>
        <w:t xml:space="preserve">Tour commentary is provided on coaches which are not wheelchair accessible. However, our office is wheelchair accessible. We welcome guests with mobility issues on our tours and they are accommodated to the best of our ability. Due to the health and safety of our staff, passengers must be able to embark and disembark the coach on their own or with assistance from a companion/carer.</w:t>
      </w:r>
    </w:p>
    <w:p>
      <w:pPr>
        <w:spacing/>
        <w:rPr/>
      </w:pPr>
      <w:r>
        <w:rPr/>
        <w:t xml:space="preserve"> </w:t>
      </w:r>
    </w:p>
    <w:p>
      <w:pPr>
        <w:pStyle w:val="Heading2"/>
        <w:spacing/>
        <w:rPr/>
      </w:pPr>
      <w:bookmarkStart w:id="20" w:name="_Toc0000000016"/>
      <w:r>
        <w:rPr/>
        <w:t xml:space="preserve">External Paths</w:t>
      </w:r>
      <w:bookmarkEnd w:id="20"/>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spacing/>
        <w:rPr/>
      </w:pPr>
    </w:p>
    <w:p>
      <w:pPr>
        <w:pBdr/>
        <w:spacing/>
        <w:rPr/>
      </w:pPr>
      <w:r>
        <w:rPr/>
        <w:t xml:space="preserve">No steps</w:t>
      </w:r>
    </w:p>
    <w:p>
      <w:pPr>
        <w:spacing/>
        <w:rPr/>
      </w:pPr>
      <w:r>
        <w:rPr/>
        <w:t xml:space="preserve"> </w:t>
      </w:r>
    </w:p>
    <w:p>
      <w:pPr>
        <w:pStyle w:val="Heading2"/>
        <w:spacing/>
        <w:rPr/>
      </w:pPr>
      <w:bookmarkStart w:id="21" w:name="_Toc0000000017"/>
      <w:r>
        <w:rPr/>
        <w:t xml:space="preserve">Public Toilets/Adult change facilities</w:t>
      </w:r>
      <w:bookmarkEnd w:id="21"/>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Heading1"/>
        <w:spacing/>
        <w:rPr/>
      </w:pPr>
      <w:bookmarkStart w:id="22" w:name="_Toc0000000018"/>
      <w:r>
        <w:rPr/>
        <w:t xml:space="preserve">TOUR OPERATORS</w:t>
      </w:r>
      <w:bookmarkEnd w:id="22"/>
    </w:p>
    <w:p>
      <w:pPr>
        <w:spacing/>
        <w:rPr/>
      </w:pPr>
      <w:r>
        <w:rPr/>
        <w:t xml:space="preserve"> </w:t>
      </w:r>
    </w:p>
    <w:p>
      <w:pPr>
        <w:pStyle w:val="Heading2"/>
        <w:spacing/>
        <w:rPr/>
      </w:pPr>
      <w:bookmarkStart w:id="23" w:name="_Toc0000000019"/>
      <w:r>
        <w:rPr/>
        <w:t xml:space="preserve">Tour/Transport Services</w:t>
      </w:r>
      <w:bookmarkEnd w:id="23"/>
    </w:p>
    <w:p>
      <w:pPr>
        <w:spacing/>
        <w:rPr/>
      </w:pPr>
      <w:r>
        <w:rPr/>
        <w:t xml:space="preserve">The tour/transport services have the following facilities/amenities in place</w:t>
      </w:r>
    </w:p>
    <w:p>
      <w:pPr>
        <w:pStyle w:val="ListBullet"/>
        <w:numPr>
          <w:ilvl w:val="0"/>
          <w:numId w:val="35"/>
        </w:numPr>
        <w:spacing/>
        <w:rPr/>
      </w:pPr>
      <w:r>
        <w:rPr/>
        <w:t xml:space="preserve">Buses/Coaches</w:t>
      </w:r>
    </w:p>
    <w:p>
      <w:pPr>
        <w:pStyle w:val="ListBullet"/>
        <w:numPr>
          <w:ilvl w:val="0"/>
          <w:numId w:val="35"/>
        </w:numPr>
        <w:spacing/>
        <w:rPr/>
      </w:pPr>
      <w:r>
        <w:rPr/>
        <w:t xml:space="preserve">None vehicles have wheelchair lifts or ramps</w:t>
      </w:r>
    </w:p>
    <w:p>
      <w:pPr>
        <w:pStyle w:val="ListBullet"/>
        <w:numPr>
          <w:ilvl w:val="0"/>
          <w:numId w:val="35"/>
        </w:numPr>
        <w:spacing/>
        <w:rPr/>
      </w:pPr>
      <w:r>
        <w:rPr/>
        <w:t xml:space="preserve">None vehicles have low floors with ramped entry</w:t>
      </w:r>
    </w:p>
    <w:p>
      <w:pPr>
        <w:spacing/>
        <w:rPr/>
      </w:pPr>
      <w:r>
        <w:rPr/>
        <w:t xml:space="preserve">The maximum wheelchair capacity available in the fleet is: </w:t>
      </w:r>
    </w:p>
    <w:p>
      <w:pPr>
        <w:pBdr/>
        <w:spacing/>
        <w:rPr/>
      </w:pPr>
      <w:r>
        <w:rPr/>
        <w:t xml:space="preserve">Passengers may bring wheelchairs on a case by case basis</w:t>
      </w:r>
    </w:p>
    <w:p>
      <w:pPr>
        <w:spacing/>
        <w:rPr/>
      </w:pPr>
      <w:r>
        <w:rPr/>
        <w:t xml:space="preserve"> </w:t>
      </w:r>
    </w:p>
    <w:p>
      <w:pPr>
        <w:pStyle w:val="Heading2"/>
        <w:spacing/>
        <w:rPr/>
      </w:pPr>
      <w:bookmarkStart w:id="24" w:name="_Toc0000000020"/>
      <w:r>
        <w:rPr/>
        <w:t xml:space="preserve">Route Planning</w:t>
      </w:r>
      <w:bookmarkEnd w:id="24"/>
    </w:p>
    <w:p>
      <w:pPr>
        <w:pStyle w:val="ListBullet"/>
        <w:numPr>
          <w:ilvl w:val="0"/>
          <w:numId w:val="35"/>
        </w:numPr>
        <w:spacing/>
        <w:rPr/>
      </w:pPr>
      <w:r>
        <w:rPr/>
        <w:t xml:space="preserve">Route Planning</w:t>
      </w:r>
    </w:p>
    <w:p>
      <w:pPr>
        <w:pStyle w:val="ListBullet"/>
        <w:numPr>
          <w:ilvl w:val="0"/>
          <w:numId w:val="35"/>
        </w:numPr>
        <w:spacing/>
        <w:rPr/>
      </w:pPr>
      <w:r>
        <w:rPr/>
        <w:t xml:space="preserve">The tour route includes stops with accessible toilet facilities</w:t>
      </w:r>
    </w:p>
    <w:p>
      <w:pPr>
        <w:pStyle w:val="ListBullet"/>
        <w:numPr>
          <w:ilvl w:val="0"/>
          <w:numId w:val="35"/>
        </w:numPr>
        <w:spacing/>
        <w:rPr/>
      </w:pPr>
      <w:r>
        <w:rPr/>
        <w:t xml:space="preserve">Lunch stop venues are accessible</w:t>
      </w:r>
    </w:p>
    <w:p>
      <w:pPr>
        <w:pStyle w:val="ListBullet"/>
        <w:numPr>
          <w:ilvl w:val="0"/>
          <w:numId w:val="35"/>
        </w:numPr>
        <w:spacing/>
        <w:rPr/>
      </w:pPr>
      <w:r>
        <w:rPr/>
        <w:t xml:space="preserve">Overnight Stops</w:t>
      </w:r>
    </w:p>
    <w:p>
      <w:pPr>
        <w:pStyle w:val="ListBullet"/>
        <w:numPr>
          <w:ilvl w:val="0"/>
          <w:numId w:val="35"/>
        </w:numPr>
        <w:spacing/>
        <w:rPr/>
      </w:pPr>
      <w:r>
        <w:rPr/>
        <w:t xml:space="preserve">For overnight stays, wheelchair accessible rooms are available</w:t>
      </w:r>
    </w:p>
    <w:p>
      <w:pPr>
        <w:spacing/>
        <w:rPr/>
      </w:pPr>
      <w:r>
        <w:rPr/>
        <w:t xml:space="preserve">The total number of wheelchair passengers that can be catered for at overnight stops are: </w:t>
      </w:r>
    </w:p>
    <w:p>
      <w:pPr>
        <w:pBdr/>
        <w:spacing/>
        <w:rPr/>
      </w:pPr>
      <w:r>
        <w:rPr/>
        <w:t xml:space="preserve">No maximum, guests with mobility issues are catered for wherever possible</w:t>
      </w:r>
    </w:p>
    <w:p>
      <w:pPr>
        <w:pStyle w:val="ListBullet"/>
        <w:numPr>
          <w:ilvl w:val="0"/>
          <w:numId w:val="35"/>
        </w:numPr>
        <w:spacing/>
        <w:rPr/>
      </w:pPr>
      <w:r>
        <w:rPr/>
        <w:t xml:space="preserve">Walking Tours</w:t>
      </w:r>
    </w:p>
    <w:p>
      <w:pPr>
        <w:pStyle w:val="ListBullet"/>
        <w:numPr>
          <w:ilvl w:val="0"/>
          <w:numId w:val="35"/>
        </w:numPr>
        <w:spacing/>
        <w:rPr/>
      </w:pPr>
      <w:r>
        <w:rPr/>
        <w:t xml:space="preserve">Multi-paced to account for slower walkers</w:t>
      </w:r>
    </w:p>
    <w:p>
      <w:pPr>
        <w:spacing/>
        <w:rPr/>
      </w:pPr>
      <w:r>
        <w:rPr/>
        <w:t xml:space="preserve"> </w:t>
      </w:r>
    </w:p>
    <w:p>
      <w:pPr>
        <w:pStyle w:val="Heading2"/>
        <w:spacing/>
        <w:rPr/>
      </w:pPr>
      <w:bookmarkStart w:id="25" w:name="_Toc0000000021"/>
      <w:r>
        <w:rPr/>
        <w:t xml:space="preserve">Guides</w:t>
      </w:r>
      <w:bookmarkEnd w:id="25"/>
    </w:p>
    <w:p>
      <w:pPr>
        <w:spacing/>
        <w:rPr/>
      </w:pPr>
      <w:r>
        <w:rPr/>
        <w:t xml:space="preserve"> </w:t>
      </w:r>
    </w:p>
    <w:p>
      <w:pPr>
        <w:spacing/>
        <w:rPr/>
      </w:pPr>
      <w:r>
        <w:rPr/>
        <w:t xml:space="preserve">Guides have been trained in the following</w:t>
      </w:r>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ListBullet"/>
        <w:numPr>
          <w:ilvl w:val="0"/>
          <w:numId w:val="35"/>
        </w:numPr>
        <w:spacing/>
        <w:rPr/>
      </w:pPr>
      <w:r>
        <w:rPr/>
        <w:t xml:space="preserve">In addition, the following further information can assist guests:</w:t>
      </w:r>
    </w:p>
    <w:p>
      <w:pPr>
        <w:spacing/>
        <w:rPr/>
      </w:pPr>
      <w:r>
        <w:rPr/>
        <w:t xml:space="preserve">Far too many to list - we have a fleet of five coaches constantly travelling all throughout Australia.</w:t>
      </w:r>
    </w:p>
    <w:p>
      <w:pPr>
        <w:pStyle w:val="ListBullet"/>
        <w:numPr>
          <w:ilvl w:val="0"/>
          <w:numId w:val="35"/>
        </w:numPr>
        <w:spacing/>
        <w:rPr/>
      </w:pPr>
      <w:r>
        <w:rPr/>
        <w:t xml:space="preserve">In addition, the following further information can assist guests:</w:t>
      </w:r>
    </w:p>
    <w:p>
      <w:pPr>
        <w:spacing/>
        <w:rPr/>
      </w:pPr>
      <w:r>
        <w:rPr/>
        <w:t xml:space="preserve">With tours all over Australia ranging from one to 20 days we are unable to provide an image of each and every stop and destination. As you can imagine the destinations we visit vary widely. Our tours are specifically designed with seniors in mind and as a result, we are committed to ensuring our tours are as accessible as possible and slower paced. However, accessibility is not always guaranteed in outback destinations. We welcome guests with disabilities and will work closely with passengers who have specific requirements by maintaining open communication and passing any requirements on to our partners, such as accommodation providers and restaurants. We take all requests on a case by case basis, and are also honest and upfront if our tours are not suitable for a particular passenger.</w:t>
      </w:r>
    </w:p>
    <w:p>
      <w:pPr>
        <w:pStyle w:val="Heading1"/>
        <w:spacing/>
        <w:rPr/>
      </w:pPr>
      <w:bookmarkStart w:id="26" w:name="_Toc0000000022"/>
      <w:r>
        <w:rPr/>
        <w:t xml:space="preserve">FOOD AND DRINK</w:t>
      </w:r>
      <w:bookmarkEnd w:id="26"/>
    </w:p>
    <w:p>
      <w:pPr>
        <w:spacing/>
        <w:rPr/>
      </w:pPr>
      <w:r>
        <w:rPr/>
        <w:t xml:space="preserve"> </w:t>
      </w:r>
    </w:p>
    <w:p>
      <w:pPr>
        <w:pStyle w:val="Heading2"/>
        <w:spacing/>
        <w:rPr/>
      </w:pPr>
      <w:bookmarkStart w:id="27" w:name="_Toc0000000023"/>
      <w:r>
        <w:rPr/>
        <w:t xml:space="preserve">Dining Spaces</w:t>
      </w:r>
      <w:bookmarkEnd w:id="27"/>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large print menus</w:t>
      </w:r>
    </w:p>
    <w:p>
      <w:pPr>
        <w:pStyle w:val="ListBullet"/>
        <w:numPr>
          <w:ilvl w:val="0"/>
          <w:numId w:val="35"/>
        </w:numPr>
        <w:spacing/>
        <w:rPr/>
      </w:pPr>
      <w:r>
        <w:rPr/>
        <w:t xml:space="preserve">There are Plain English menus</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Nut free</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Kosher</w:t>
      </w:r>
    </w:p>
    <w:p>
      <w:pPr>
        <w:pStyle w:val="ListBullet"/>
        <w:numPr>
          <w:ilvl w:val="0"/>
          <w:numId w:val="35"/>
        </w:numPr>
        <w:spacing/>
        <w:rPr/>
      </w:pPr>
      <w:r>
        <w:rPr/>
        <w:t xml:space="preserve">Halal</w:t>
      </w:r>
    </w:p>
    <w:p>
      <w:pPr>
        <w:pStyle w:val="ListBullet"/>
        <w:numPr>
          <w:ilvl w:val="0"/>
          <w:numId w:val="35"/>
        </w:numPr>
        <w:spacing/>
        <w:rPr/>
      </w:pPr>
      <w:r>
        <w:rPr/>
        <w:t xml:space="preserve">In addition, the following further information can assist guests:</w:t>
      </w:r>
    </w:p>
    <w:p>
      <w:pPr>
        <w:spacing/>
        <w:rPr/>
      </w:pPr>
      <w:r>
        <w:rPr/>
        <w:t xml:space="preserve">Dietary requirements passed on to operations staff and third party service providers</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We do not operate our own dining establishment, but visit a wide variety around Australia. Dietary requirements are passed on to accommodation providers and restaurants on tour.</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8" w:name="_Toc0000000024"/>
      <w:r>
        <w:rPr/>
        <w:t xml:space="preserve">Report Disclaimer</w:t>
      </w:r>
      <w:bookmarkEnd w:id="28"/>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5631167B"/>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jpe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