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Shrine of Remembrance Trustees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Birdwood Avenue</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Melbourne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Sue Curwood</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03 9661 8100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reception@shrine.org.au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shrine.org.au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2026-08-12 19:17</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Lifts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_Toc0000000017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Steps</w:t>
          </w:r>
          <w:r>
            <w:rPr/>
            <w:tab/>
            <w:t xml:space="preserve"/>
          </w:r>
          <w:r>
            <w:rPr/>
            <w:fldChar w:fldCharType="begin"/>
          </w:r>
          <w:r>
            <w:rPr/>
            <w:instrText xml:space="preserve">PAGEREF _Toc0000000018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Ramps</w:t>
          </w:r>
          <w:r>
            <w:rPr/>
            <w:tab/>
            <w:t xml:space="preserve"/>
          </w:r>
          <w:r>
            <w:rPr/>
            <w:fldChar w:fldCharType="begin"/>
          </w:r>
          <w:r>
            <w:rPr/>
            <w:instrText xml:space="preserve">PAGEREF _Toc0000000019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_Toc0000000020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_Toc0000000021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Attractions Basics</w:t>
          </w:r>
          <w:r>
            <w:rPr/>
            <w:tab/>
            <w:t xml:space="preserve"/>
          </w:r>
          <w:r>
            <w:rPr/>
            <w:fldChar w:fldCharType="begin"/>
          </w:r>
          <w:r>
            <w:rPr/>
            <w:instrText xml:space="preserve">PAGEREF _Toc0000000022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_Toc0000000023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Parks and gardens</w:t>
          </w:r>
          <w:r>
            <w:rPr/>
            <w:tab/>
            <w:t xml:space="preserve"/>
          </w:r>
          <w:r>
            <w:rPr/>
            <w:fldChar w:fldCharType="begin"/>
          </w:r>
          <w:r>
            <w:rPr/>
            <w:instrText xml:space="preserve">PAGEREF _Toc0000000024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_Toc0000000025 \h</w:instrText>
          </w:r>
          <w:r>
            <w:rPr/>
            <w:fldChar w:fldCharType="separate"/>
          </w:r>
          <w:r>
            <w:rPr/>
            <w:t xml:space="preserve">19</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Attraction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23114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23114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https://www.shrine.org.au/plan-your-visit#accessibility</w:t>
      </w:r>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Braille Displays</w:t>
      </w:r>
    </w:p>
    <w:p>
      <w:pPr>
        <w:spacing/>
        <w:rPr/>
      </w:pPr>
    </w:p>
    <w:p>
      <w:pPr>
        <w:pBdr/>
        <w:spacing/>
        <w:rPr/>
      </w:pPr>
      <w:r>
        <w:rPr/>
        <w:t xml:space="preserve">Large print room guides in some galleries</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spacing/>
        <w:rPr/>
      </w:pPr>
      <w:r>
        <w:rPr/>
        <w:t xml:space="preserve">The business provides the following services for services animals: </w:t>
      </w:r>
    </w:p>
    <w:p>
      <w:pPr>
        <w:pBdr/>
        <w:spacing/>
        <w:rPr/>
      </w:pPr>
      <w:r>
        <w:rPr/>
        <w:t xml:space="preserve">Not specified</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Seating available in all public areas of the building, particularly at the Visitor Centre. Queuing not prevalent in Shrine experience.&amp;nbsp;</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"social script" guide to your premises or attraction describing the sights, sounds and smells to aid parents/carers prepare visitors in advance</w:t>
      </w:r>
    </w:p>
    <w:p>
      <w:pPr>
        <w:pStyle w:val="ListBullet"/>
        <w:numPr>
          <w:ilvl w:val="0"/>
          <w:numId w:val="35"/>
        </w:numPr>
        <w:spacing/>
        <w:rPr/>
      </w:pPr>
      <w:r>
        <w:rPr/>
        <w:t xml:space="preserve">The 'social script' is available in word and other editable formats</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public transport services available are:</w:t>
      </w:r>
    </w:p>
    <w:p>
      <w:pPr>
        <w:spacing/>
        <w:rPr/>
      </w:pPr>
    </w:p>
    <w:p>
      <w:pPr>
        <w:pBdr/>
        <w:spacing/>
        <w:rPr/>
      </w:pPr>
      <w:r>
        <w:rPr/>
        <w:t xml:space="preserve">To reach the Shrine of Remembrance with accessible transport, take a train via the Metro Tunnel to Anzac Station and use Exit 4 (Domain Road). Alternatively, catch low-floor trams to Stop 17 (Police Memorial) and enter via Anzac Avenue, as the ramps there provide a much more gradual incline than Stop 19.</w:t>
      </w:r>
    </w:p>
    <w:p>
      <w:pPr>
        <w:pStyle w:val="ListBullet"/>
        <w:numPr>
          <w:ilvl w:val="0"/>
          <w:numId w:val="35"/>
        </w:numPr>
        <w:spacing/>
        <w:rPr/>
      </w:pPr>
      <w:r>
        <w:rPr/>
        <w:t xml:space="preserve">Kerb ramps are in place where a pavement or walkway needs to be crossed</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spacing/>
        <w:rPr/>
      </w:pPr>
      <w:r>
        <w:rPr/>
        <w:t xml:space="preserve"> </w:t>
      </w:r>
    </w:p>
    <w:p>
      <w:pPr>
        <w:pStyle w:val="Heading2"/>
        <w:spacing/>
        <w:rPr/>
      </w:pPr>
      <w:bookmarkStart w:id="17" w:name="_Toc0000000013"/>
      <w:r>
        <w:rPr/>
        <w:t xml:space="preserve">Lifts</w:t>
      </w:r>
      <w:bookmarkEnd w:id="17"/>
    </w:p>
    <w:p>
      <w:pPr>
        <w:pStyle w:val="ListBullet"/>
        <w:numPr>
          <w:ilvl w:val="0"/>
          <w:numId w:val="35"/>
        </w:numPr>
        <w:spacing/>
        <w:rPr/>
      </w:pPr>
      <w:r>
        <w:rPr/>
        <w:t xml:space="preserve">Premises has lifts</w:t>
      </w:r>
    </w:p>
    <w:p>
      <w:pPr>
        <w:pStyle w:val="ListBullet"/>
        <w:numPr>
          <w:ilvl w:val="0"/>
          <w:numId w:val="35"/>
        </w:numPr>
        <w:spacing/>
        <w:rPr/>
      </w:pPr>
      <w:r>
        <w:rPr/>
        <w:t xml:space="preserve">Lift location: Visitor Centre, Galleries, Education Centre. Available to all public; Has visual floor indicator</w:t>
      </w:r>
    </w:p>
    <w:p>
      <w:pPr>
        <w:spacing/>
        <w:rPr/>
      </w:pPr>
      <w:r>
        <w:rPr/>
        <w:t xml:space="preserve"> </w:t>
      </w:r>
    </w:p>
    <w:p>
      <w:pPr>
        <w:pStyle w:val="Heading2"/>
        <w:spacing/>
        <w:rPr/>
      </w:pPr>
      <w:bookmarkStart w:id="18" w:name="_Toc0000000014"/>
      <w:r>
        <w:rPr/>
        <w:t xml:space="preserve">Internal Spaces</w:t>
      </w:r>
      <w:bookmarkEnd w:id="18"/>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spacing/>
        <w:rPr/>
      </w:pPr>
      <w:r>
        <w:rPr/>
        <w:t xml:space="preserve"> </w:t>
      </w:r>
    </w:p>
    <w:p>
      <w:pPr>
        <w:pStyle w:val="Heading2"/>
        <w:spacing/>
        <w:rPr/>
      </w:pPr>
      <w:bookmarkStart w:id="19" w:name="_Toc0000000015"/>
      <w:r>
        <w:rPr/>
        <w:t xml:space="preserve">Public areas</w:t>
      </w:r>
      <w:bookmarkEnd w:id="19"/>
    </w:p>
    <w:p>
      <w:pPr>
        <w:spacing/>
        <w:rPr/>
      </w:pPr>
      <w:r>
        <w:rPr/>
        <w:t xml:space="preserve">The public areas have the following amenities  in place</w:t>
      </w:r>
    </w:p>
    <w:p>
      <w:pPr>
        <w:pStyle w:val="ListBullet"/>
        <w:numPr>
          <w:ilvl w:val="0"/>
          <w:numId w:val="35"/>
        </w:numPr>
        <w:spacing/>
        <w:rPr/>
      </w:pPr>
      <w:r>
        <w:rPr/>
        <w:t xml:space="preserve">Display units, Televisions, Video displays etc. are  open captioned</w:t>
      </w:r>
    </w:p>
    <w:p>
      <w:pPr>
        <w:pStyle w:val="ListBullet"/>
        <w:numPr>
          <w:ilvl w:val="0"/>
          <w:numId w:val="35"/>
        </w:numPr>
        <w:spacing/>
        <w:rPr/>
      </w:pPr>
      <w:r>
        <w:rPr/>
        <w:t xml:space="preserve">Hearing loops</w:t>
      </w:r>
    </w:p>
    <w:p>
      <w:pPr>
        <w:pStyle w:val="ListBullet"/>
        <w:numPr>
          <w:ilvl w:val="0"/>
          <w:numId w:val="35"/>
        </w:numPr>
        <w:spacing/>
        <w:rPr/>
      </w:pPr>
      <w:r>
        <w:rPr/>
        <w:t xml:space="preserve">Hearing loop symbols are displayed</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20" w:name="_Toc0000000016"/>
      <w:r>
        <w:rPr/>
        <w:t xml:space="preserve">Displays, exhibits, commentary and live performances</w:t>
      </w:r>
      <w:bookmarkEnd w:id="20"/>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pStyle w:val="ListBullet"/>
        <w:numPr>
          <w:ilvl w:val="0"/>
          <w:numId w:val="35"/>
        </w:numPr>
        <w:spacing/>
        <w:rPr/>
      </w:pPr>
      <w:r>
        <w:rPr/>
        <w:t xml:space="preserve">Hearting loops for live shows and presentations</w:t>
      </w:r>
    </w:p>
    <w:p>
      <w:pPr>
        <w:spacing/>
        <w:rPr/>
      </w:pPr>
      <w:r>
        <w:rPr/>
        <w:t xml:space="preserve"> </w:t>
      </w:r>
    </w:p>
    <w:p>
      <w:pPr>
        <w:pStyle w:val="Heading2"/>
        <w:spacing/>
        <w:rPr/>
      </w:pPr>
      <w:bookmarkStart w:id="21" w:name="_Toc0000000017"/>
      <w:r>
        <w:rPr/>
        <w:t xml:space="preserve">External Paths</w:t>
      </w:r>
      <w:bookmarkEnd w:id="21"/>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spacing/>
        <w:rPr/>
      </w:pPr>
      <w:r>
        <w:rPr/>
        <w:t xml:space="preserve"> </w:t>
      </w:r>
    </w:p>
    <w:p>
      <w:pPr>
        <w:pStyle w:val="Heading2"/>
        <w:spacing/>
        <w:rPr/>
      </w:pPr>
      <w:bookmarkStart w:id="22" w:name="_Toc0000000018"/>
      <w:r>
        <w:rPr/>
        <w:t xml:space="preserve">Steps</w:t>
      </w:r>
      <w:bookmarkEnd w:id="22"/>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In addition, the following further information can assist guests:</w:t>
      </w:r>
    </w:p>
    <w:p>
      <w:pPr>
        <w:spacing/>
        <w:rPr/>
      </w:pPr>
      <w:r>
        <w:rPr/>
        <w:t xml:space="preserve">The Shrine of Remembrance is a heritage-listed 90 year old building. Heritage overlays restrict the addition of some accessibility features.</w:t>
      </w:r>
    </w:p>
    <w:p>
      <w:pPr>
        <w:spacing/>
        <w:rPr/>
      </w:pPr>
      <w:r>
        <w:rPr/>
        <w:t xml:space="preserve"> </w:t>
      </w:r>
    </w:p>
    <w:p>
      <w:pPr>
        <w:pStyle w:val="Heading2"/>
        <w:spacing/>
        <w:rPr/>
      </w:pPr>
      <w:bookmarkStart w:id="23" w:name="_Toc0000000019"/>
      <w:r>
        <w:rPr/>
        <w:t xml:space="preserve">Ramps</w:t>
      </w:r>
      <w:bookmarkEnd w:id="23"/>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Ramps have a raised edge of at least 100mm</w:t>
      </w:r>
    </w:p>
    <w:p>
      <w:pPr>
        <w:spacing/>
        <w:rPr/>
      </w:pPr>
      <w:r>
        <w:rPr/>
        <w:t xml:space="preserve"> </w:t>
      </w:r>
    </w:p>
    <w:p>
      <w:pPr>
        <w:pStyle w:val="Heading2"/>
        <w:spacing/>
        <w:rPr/>
      </w:pPr>
      <w:bookmarkStart w:id="24" w:name="_Toc0000000020"/>
      <w:r>
        <w:rPr/>
        <w:t xml:space="preserve">Public Toilets/Adult change facilities</w:t>
      </w:r>
      <w:bookmarkEnd w:id="24"/>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25" w:name="_Toc0000000021"/>
      <w:r>
        <w:rPr/>
        <w:t xml:space="preserve">ATTRACTIONS</w:t>
      </w:r>
      <w:bookmarkEnd w:id="25"/>
    </w:p>
    <w:p>
      <w:pPr>
        <w:spacing/>
        <w:rPr/>
      </w:pPr>
      <w:r>
        <w:rPr/>
        <w:t xml:space="preserve"> </w:t>
      </w:r>
    </w:p>
    <w:p>
      <w:pPr>
        <w:pStyle w:val="Heading2"/>
        <w:spacing/>
        <w:rPr/>
      </w:pPr>
      <w:bookmarkStart w:id="26" w:name="_Toc0000000022"/>
      <w:r>
        <w:rPr/>
        <w:t xml:space="preserve">Attractions Basics</w:t>
      </w:r>
      <w:bookmarkEnd w:id="26"/>
    </w:p>
    <w:p>
      <w:pPr>
        <w:pStyle w:val="ListBullet"/>
        <w:numPr>
          <w:ilvl w:val="0"/>
          <w:numId w:val="35"/>
        </w:numPr>
        <w:spacing/>
        <w:rPr/>
      </w:pPr>
      <w:r>
        <w:rPr/>
        <w:t xml:space="preserve">A park map is available here:</w:t>
      </w:r>
    </w:p>
    <w:p>
      <w:pPr>
        <w:spacing/>
        <w:rPr/>
      </w:pPr>
    </w:p>
    <w:p>
      <w:pPr>
        <w:pBdr/>
        <w:spacing/>
        <w:rPr/>
      </w:pPr>
      <w:r>
        <w:rPr/>
        <w:t xml:space="preserve">https://content.vic.gov.au/sites/default/files/2023-02/SOR0434_Visitors-Guide_ST07_page2.pdf</w:t>
      </w:r>
    </w:p>
    <w:p>
      <w:pPr>
        <w:pStyle w:val="Subtitle"/>
        <w:spacing/>
        <w:rPr/>
      </w:pPr>
      <w:r>
        <w:rPr/>
        <w:t xml:space="preserve">Image(s)</w:t>
      </w:r>
    </w:p>
    <w:p>
      <w:pPr>
        <w:spacing/>
        <w:rPr/>
      </w:pPr>
      <w:r>
        <w:rPr/>
        <w:drawing>
          <wp:inline>
            <wp:extent cx="2540000" cy="16891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689100"/>
                    </a:xfrm>
                    <a:prstGeom prst="rect">
                      <a:avLst/>
                    </a:prstGeom>
                  </pic:spPr>
                </pic:pic>
              </a:graphicData>
            </a:graphic>
          </wp:inline>
        </w:drawing>
      </w:r>
    </w:p>
    <w:p>
      <w:pPr>
        <w:spacing/>
        <w:rPr/>
      </w:pPr>
      <w:r>
        <w:rPr/>
        <w:t xml:space="preserve">Anzac Station accessible lifts</w:t>
      </w:r>
    </w:p>
    <w:p>
      <w:pPr>
        <w:spacing/>
        <w:rPr/>
      </w:pPr>
      <w:r>
        <w:rPr/>
        <w:drawing>
          <wp:inline>
            <wp:extent cx="2540000" cy="16891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689100"/>
                    </a:xfrm>
                    <a:prstGeom prst="rect">
                      <a:avLst/>
                    </a:prstGeom>
                  </pic:spPr>
                </pic:pic>
              </a:graphicData>
            </a:graphic>
          </wp:inline>
        </w:drawing>
      </w:r>
    </w:p>
    <w:p>
      <w:pPr>
        <w:spacing/>
        <w:rPr/>
      </w:pPr>
      <w:r>
        <w:rPr/>
        <w:t xml:space="preserve">Anzac Station accessible platform</w:t>
      </w:r>
    </w:p>
    <w:p>
      <w:pPr>
        <w:spacing/>
        <w:rPr/>
      </w:pPr>
      <w:r>
        <w:rPr/>
        <w:drawing>
          <wp:inline>
            <wp:extent cx="2540000" cy="1905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905000"/>
                    </a:xfrm>
                    <a:prstGeom prst="rect">
                      <a:avLst/>
                    </a:prstGeom>
                  </pic:spPr>
                </pic:pic>
              </a:graphicData>
            </a:graphic>
          </wp:inline>
        </w:drawing>
      </w:r>
    </w:p>
    <w:p>
      <w:pPr>
        <w:spacing/>
        <w:rPr/>
      </w:pPr>
      <w:r>
        <w:rPr/>
        <w:t xml:space="preserve">Anzac Station tram platform.JPG</w:t>
      </w:r>
    </w:p>
    <w:p>
      <w:pPr>
        <w:spacing/>
        <w:rPr/>
      </w:pPr>
      <w:r>
        <w:rPr/>
        <w:drawing>
          <wp:inline>
            <wp:extent cx="2540000" cy="1905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905000"/>
                    </a:xfrm>
                    <a:prstGeom prst="rect">
                      <a:avLst/>
                    </a:prstGeom>
                  </pic:spPr>
                </pic:pic>
              </a:graphicData>
            </a:graphic>
          </wp:inline>
        </w:drawing>
      </w:r>
    </w:p>
    <w:p>
      <w:pPr>
        <w:spacing/>
        <w:rPr/>
      </w:pPr>
      <w:r>
        <w:rPr/>
        <w:t xml:space="preserve">Gift shop.JPG</w:t>
      </w:r>
    </w:p>
    <w:p>
      <w:pPr>
        <w:spacing/>
        <w:rPr/>
      </w:pPr>
      <w:r>
        <w:rPr/>
        <w:drawing>
          <wp:inline>
            <wp:extent cx="2540000" cy="1905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905000"/>
                    </a:xfrm>
                    <a:prstGeom prst="rect">
                      <a:avLst/>
                    </a:prstGeom>
                  </pic:spPr>
                </pic:pic>
              </a:graphicData>
            </a:graphic>
          </wp:inline>
        </w:drawing>
      </w:r>
    </w:p>
    <w:p>
      <w:pPr>
        <w:spacing/>
        <w:rPr/>
      </w:pPr>
      <w:r>
        <w:rPr/>
        <w:t xml:space="preserve">Main Entrance 2.JPG</w:t>
      </w:r>
    </w:p>
    <w:p>
      <w:pPr>
        <w:spacing/>
        <w:rPr/>
      </w:pPr>
      <w:r>
        <w:rPr/>
        <w:drawing>
          <wp:inline>
            <wp:extent cx="2540000" cy="1905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905000"/>
                    </a:xfrm>
                    <a:prstGeom prst="rect">
                      <a:avLst/>
                    </a:prstGeom>
                  </pic:spPr>
                </pic:pic>
              </a:graphicData>
            </a:graphic>
          </wp:inline>
        </w:drawing>
      </w:r>
    </w:p>
    <w:p>
      <w:pPr>
        <w:spacing/>
        <w:rPr/>
      </w:pPr>
      <w:r>
        <w:rPr/>
        <w:t xml:space="preserve">Seating.JPG</w:t>
      </w:r>
    </w:p>
    <w:p>
      <w:pPr>
        <w:spacing/>
        <w:rPr/>
      </w:pPr>
      <w:r>
        <w:rPr/>
        <w:drawing>
          <wp:inline>
            <wp:extent cx="2540000" cy="19050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2540000" cy="1905000"/>
                    </a:xfrm>
                    <a:prstGeom prst="rect">
                      <a:avLst/>
                    </a:prstGeom>
                  </pic:spPr>
                </pic:pic>
              </a:graphicData>
            </a:graphic>
          </wp:inline>
        </w:drawing>
      </w:r>
    </w:p>
    <w:p>
      <w:pPr>
        <w:spacing/>
        <w:rPr/>
      </w:pPr>
      <w:r>
        <w:rPr/>
        <w:t xml:space="preserve">Ticket Counter.JPG</w:t>
      </w:r>
    </w:p>
    <w:p>
      <w:pPr>
        <w:spacing/>
        <w:rPr/>
      </w:pPr>
      <w:r>
        <w:rPr/>
        <w:drawing>
          <wp:inline>
            <wp:extent cx="2540000" cy="19050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2540000" cy="1905000"/>
                    </a:xfrm>
                    <a:prstGeom prst="rect">
                      <a:avLst/>
                    </a:prstGeom>
                  </pic:spPr>
                </pic:pic>
              </a:graphicData>
            </a:graphic>
          </wp:inline>
        </w:drawing>
      </w:r>
    </w:p>
    <w:p>
      <w:pPr>
        <w:spacing/>
        <w:rPr/>
      </w:pPr>
      <w:r>
        <w:rPr/>
        <w:t xml:space="preserve">Seating 2.JPG</w:t>
      </w:r>
    </w:p>
    <w:p>
      <w:pPr>
        <w:pStyle w:val="Heading1"/>
        <w:spacing/>
        <w:rPr/>
      </w:pPr>
      <w:bookmarkStart w:id="27" w:name="_Toc0000000023"/>
      <w:r>
        <w:rPr/>
        <w:t xml:space="preserve">COMMON AREAS</w:t>
      </w:r>
      <w:bookmarkEnd w:id="27"/>
    </w:p>
    <w:p>
      <w:pPr>
        <w:spacing/>
        <w:rPr/>
      </w:pPr>
      <w:r>
        <w:rPr/>
        <w:t xml:space="preserve"> </w:t>
      </w:r>
    </w:p>
    <w:p>
      <w:pPr>
        <w:pStyle w:val="Heading2"/>
        <w:spacing/>
        <w:rPr/>
      </w:pPr>
      <w:bookmarkStart w:id="28" w:name="_Toc0000000024"/>
      <w:r>
        <w:rPr/>
        <w:t xml:space="preserve">Parks and gardens</w:t>
      </w:r>
      <w:bookmarkEnd w:id="28"/>
    </w:p>
    <w:p>
      <w:pPr>
        <w:pStyle w:val="ListBullet"/>
        <w:numPr>
          <w:ilvl w:val="0"/>
          <w:numId w:val="35"/>
        </w:numPr>
        <w:spacing/>
        <w:rPr/>
      </w:pPr>
      <w:r>
        <w:rPr/>
        <w:t xml:space="preserve">The following parks and gardens amenities are available</w:t>
      </w:r>
    </w:p>
    <w:p>
      <w:pPr>
        <w:pStyle w:val="ListBullet"/>
        <w:numPr>
          <w:ilvl w:val="0"/>
          <w:numId w:val="35"/>
        </w:numPr>
        <w:spacing/>
        <w:rPr/>
      </w:pPr>
      <w:r>
        <w:rPr/>
        <w:t xml:space="preserve">Accessible toilets</w:t>
      </w:r>
    </w:p>
    <w:p>
      <w:pPr>
        <w:pStyle w:val="ListBullet"/>
        <w:numPr>
          <w:ilvl w:val="0"/>
          <w:numId w:val="35"/>
        </w:numPr>
        <w:spacing/>
        <w:rPr/>
      </w:pPr>
      <w:r>
        <w:rPr/>
        <w:t xml:space="preserve">Seats are provided at regular intervals</w:t>
      </w:r>
    </w:p>
    <w:p>
      <w:pPr>
        <w:pStyle w:val="ListBullet"/>
        <w:numPr>
          <w:ilvl w:val="0"/>
          <w:numId w:val="35"/>
        </w:numPr>
        <w:spacing/>
        <w:rPr/>
      </w:pPr>
      <w:r>
        <w:rPr/>
        <w:t xml:space="preserve">Direction signage contains distances</w:t>
      </w:r>
    </w:p>
    <w:p>
      <w:pPr>
        <w:pStyle w:val="Subtitle"/>
        <w:spacing/>
        <w:rPr/>
      </w:pPr>
      <w:r>
        <w:rPr/>
        <w:t xml:space="preserve">Parks and Gardens Access/Entry Image(s)</w:t>
      </w:r>
    </w:p>
    <w:p>
      <w:pPr>
        <w:spacing/>
        <w:rPr/>
      </w:pPr>
      <w:r>
        <w:rPr/>
        <w:drawing>
          <wp:inline>
            <wp:extent cx="2540000" cy="1905000"/>
            <wp:docPr id="10"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2540000" cy="1905000"/>
                    </a:xfrm>
                    <a:prstGeom prst="rect">
                      <a:avLst/>
                    </a:prstGeom>
                  </pic:spPr>
                </pic:pic>
              </a:graphicData>
            </a:graphic>
          </wp:inline>
        </w:drawing>
      </w:r>
    </w:p>
    <w:p>
      <w:pPr>
        <w:spacing/>
        <w:rPr/>
      </w:pPr>
      <w:r>
        <w:rPr/>
        <w:t xml:space="preserve">Disabled Parking.JPG</w:t>
      </w:r>
    </w:p>
    <w:p>
      <w:pPr>
        <w:spacing/>
        <w:rPr/>
      </w:pPr>
      <w:r>
        <w:rPr/>
        <w:drawing>
          <wp:inline>
            <wp:extent cx="2540000" cy="1905000"/>
            <wp:docPr id="11"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a:srcRect/>
                    <a:stretch>
                      <a:fillRect/>
                    </a:stretch>
                  </pic:blipFill>
                  <pic:spPr bwMode="auto">
                    <a:xfrm>
                      <a:off x="0" y="0"/>
                      <a:ext cx="2540000" cy="1905000"/>
                    </a:xfrm>
                    <a:prstGeom prst="rect">
                      <a:avLst/>
                    </a:prstGeom>
                  </pic:spPr>
                </pic:pic>
              </a:graphicData>
            </a:graphic>
          </wp:inline>
        </w:drawing>
      </w:r>
    </w:p>
    <w:p>
      <w:pPr>
        <w:spacing/>
        <w:rPr/>
      </w:pPr>
      <w:r>
        <w:rPr/>
        <w:t xml:space="preserve">Exhibits 2.JPG</w:t>
      </w:r>
    </w:p>
    <w:p>
      <w:pPr>
        <w:spacing/>
        <w:rPr/>
      </w:pPr>
      <w:r>
        <w:rPr/>
        <w:drawing>
          <wp:inline>
            <wp:extent cx="2540000" cy="1905000"/>
            <wp:docPr id="12"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905000"/>
                    </a:xfrm>
                    <a:prstGeom prst="rect">
                      <a:avLst/>
                    </a:prstGeom>
                  </pic:spPr>
                </pic:pic>
              </a:graphicData>
            </a:graphic>
          </wp:inline>
        </w:drawing>
      </w:r>
    </w:p>
    <w:p>
      <w:pPr>
        <w:spacing/>
        <w:rPr/>
      </w:pPr>
      <w:r>
        <w:rPr/>
        <w:t xml:space="preserve">Main Entrance 2.JPG</w:t>
      </w:r>
    </w:p>
    <w:p>
      <w:pPr>
        <w:spacing/>
        <w:rPr/>
      </w:pPr>
      <w:r>
        <w:rPr/>
        <w:drawing>
          <wp:inline>
            <wp:extent cx="2540000" cy="1905000"/>
            <wp:docPr id="13"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a:srcRect/>
                    <a:stretch>
                      <a:fillRect/>
                    </a:stretch>
                  </pic:blipFill>
                  <pic:spPr bwMode="auto">
                    <a:xfrm>
                      <a:off x="0" y="0"/>
                      <a:ext cx="2540000" cy="1905000"/>
                    </a:xfrm>
                    <a:prstGeom prst="rect">
                      <a:avLst/>
                    </a:prstGeom>
                  </pic:spPr>
                </pic:pic>
              </a:graphicData>
            </a:graphic>
          </wp:inline>
        </w:drawing>
      </w:r>
    </w:p>
    <w:p>
      <w:pPr>
        <w:spacing/>
        <w:rPr/>
      </w:pPr>
      <w:r>
        <w:rPr/>
        <w:t xml:space="preserve">Accessible toilet.JPG</w:t>
      </w:r>
    </w:p>
    <w:p>
      <w:pPr>
        <w:spacing/>
        <w:rPr/>
      </w:pPr>
      <w:r>
        <w:rPr/>
        <w:drawing>
          <wp:inline>
            <wp:extent cx="2540000" cy="1905000"/>
            <wp:docPr id="14"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
                    <a:srcRect/>
                    <a:stretch>
                      <a:fillRect/>
                    </a:stretch>
                  </pic:blipFill>
                  <pic:spPr bwMode="auto">
                    <a:xfrm>
                      <a:off x="0" y="0"/>
                      <a:ext cx="2540000" cy="1905000"/>
                    </a:xfrm>
                    <a:prstGeom prst="rect">
                      <a:avLst/>
                    </a:prstGeom>
                  </pic:spPr>
                </pic:pic>
              </a:graphicData>
            </a:graphic>
          </wp:inline>
        </w:drawing>
      </w:r>
    </w:p>
    <w:p>
      <w:pPr>
        <w:spacing/>
        <w:rPr/>
      </w:pPr>
      <w:r>
        <w:rPr/>
        <w:t xml:space="preserve">Acessible toilet 2.JPG</w:t>
      </w:r>
    </w:p>
    <w:p>
      <w:pPr>
        <w:spacing/>
        <w:rPr/>
      </w:pPr>
      <w:r>
        <w:rPr/>
        <w:drawing>
          <wp:inline>
            <wp:extent cx="2540000" cy="1905000"/>
            <wp:docPr id="15"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5"/>
                    <a:srcRect/>
                    <a:stretch>
                      <a:fillRect/>
                    </a:stretch>
                  </pic:blipFill>
                  <pic:spPr bwMode="auto">
                    <a:xfrm>
                      <a:off x="0" y="0"/>
                      <a:ext cx="2540000" cy="1905000"/>
                    </a:xfrm>
                    <a:prstGeom prst="rect">
                      <a:avLst/>
                    </a:prstGeom>
                  </pic:spPr>
                </pic:pic>
              </a:graphicData>
            </a:graphic>
          </wp:inline>
        </w:drawing>
      </w:r>
    </w:p>
    <w:p>
      <w:pPr>
        <w:spacing/>
        <w:rPr/>
      </w:pPr>
      <w:r>
        <w:rPr/>
        <w:t xml:space="preserve">Cafe and Dining.JPG</w:t>
      </w:r>
    </w:p>
    <w:p>
      <w:pPr>
        <w:spacing/>
        <w:rPr/>
      </w:pPr>
      <w:r>
        <w:rPr/>
        <w:drawing>
          <wp:inline>
            <wp:extent cx="2540000" cy="1905000"/>
            <wp:docPr id="16"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2540000" cy="1905000"/>
                    </a:xfrm>
                    <a:prstGeom prst="rect">
                      <a:avLst/>
                    </a:prstGeom>
                  </pic:spPr>
                </pic:pic>
              </a:graphicData>
            </a:graphic>
          </wp:inline>
        </w:drawing>
      </w:r>
    </w:p>
    <w:p>
      <w:pPr>
        <w:spacing/>
        <w:rPr/>
      </w:pPr>
      <w:r>
        <w:rPr/>
        <w:t xml:space="preserve">Disabled Parking.JPG</w:t>
      </w:r>
    </w:p>
    <w:p>
      <w:pPr>
        <w:spacing/>
        <w:rPr/>
      </w:pPr>
      <w:r>
        <w:rPr/>
        <w:drawing>
          <wp:inline>
            <wp:extent cx="2540000" cy="1905000"/>
            <wp:docPr id="17" name="Picture 1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6"/>
                    <a:srcRect/>
                    <a:stretch>
                      <a:fillRect/>
                    </a:stretch>
                  </pic:blipFill>
                  <pic:spPr bwMode="auto">
                    <a:xfrm>
                      <a:off x="0" y="0"/>
                      <a:ext cx="2540000" cy="1905000"/>
                    </a:xfrm>
                    <a:prstGeom prst="rect">
                      <a:avLst/>
                    </a:prstGeom>
                  </pic:spPr>
                </pic:pic>
              </a:graphicData>
            </a:graphic>
          </wp:inline>
        </w:drawing>
      </w:r>
    </w:p>
    <w:p>
      <w:pPr>
        <w:spacing/>
        <w:rPr/>
      </w:pPr>
      <w:r>
        <w:rPr/>
        <w:t xml:space="preserve">Exhibits.JPG</w:t>
      </w:r>
    </w:p>
    <w:p>
      <w:pPr>
        <w:spacing/>
        <w:rPr/>
      </w:pPr>
      <w:r>
        <w:rPr/>
        <w:drawing>
          <wp:inline>
            <wp:extent cx="2540000" cy="1905000"/>
            <wp:docPr id="18" name="Picture 1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7"/>
                    <a:srcRect/>
                    <a:stretch>
                      <a:fillRect/>
                    </a:stretch>
                  </pic:blipFill>
                  <pic:spPr bwMode="auto">
                    <a:xfrm>
                      <a:off x="0" y="0"/>
                      <a:ext cx="2540000" cy="1905000"/>
                    </a:xfrm>
                    <a:prstGeom prst="rect">
                      <a:avLst/>
                    </a:prstGeom>
                  </pic:spPr>
                </pic:pic>
              </a:graphicData>
            </a:graphic>
          </wp:inline>
        </w:drawing>
      </w:r>
    </w:p>
    <w:p>
      <w:pPr>
        <w:spacing/>
        <w:rPr/>
      </w:pPr>
      <w:r>
        <w:rPr/>
        <w:t xml:space="preserve">Main Entrance.JPG</w:t>
      </w:r>
    </w:p>
    <w:p>
      <w:pPr>
        <w:spacing/>
        <w:rPr/>
      </w:pPr>
      <w:r>
        <w:rPr/>
        <w:drawing>
          <wp:inline>
            <wp:extent cx="2540000" cy="1905000"/>
            <wp:docPr id="19" name="Picture 1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8"/>
                    <a:srcRect/>
                    <a:stretch>
                      <a:fillRect/>
                    </a:stretch>
                  </pic:blipFill>
                  <pic:spPr bwMode="auto">
                    <a:xfrm>
                      <a:off x="0" y="0"/>
                      <a:ext cx="2540000" cy="1905000"/>
                    </a:xfrm>
                    <a:prstGeom prst="rect">
                      <a:avLst/>
                    </a:prstGeom>
                  </pic:spPr>
                </pic:pic>
              </a:graphicData>
            </a:graphic>
          </wp:inline>
        </w:drawing>
      </w:r>
    </w:p>
    <w:p>
      <w:pPr>
        <w:spacing/>
        <w:rPr/>
      </w:pPr>
      <w:r>
        <w:rPr/>
        <w:t xml:space="preserve">Paths 2.JPG</w:t>
      </w:r>
    </w:p>
    <w:p>
      <w:pPr>
        <w:spacing/>
        <w:rPr/>
      </w:pPr>
      <w:r>
        <w:rPr/>
        <w:drawing>
          <wp:inline>
            <wp:extent cx="2540000" cy="1905000"/>
            <wp:docPr id="20" name="Picture 1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9"/>
                    <a:srcRect/>
                    <a:stretch>
                      <a:fillRect/>
                    </a:stretch>
                  </pic:blipFill>
                  <pic:spPr bwMode="auto">
                    <a:xfrm>
                      <a:off x="0" y="0"/>
                      <a:ext cx="2540000" cy="1905000"/>
                    </a:xfrm>
                    <a:prstGeom prst="rect">
                      <a:avLst/>
                    </a:prstGeom>
                  </pic:spPr>
                </pic:pic>
              </a:graphicData>
            </a:graphic>
          </wp:inline>
        </w:drawing>
      </w:r>
    </w:p>
    <w:p>
      <w:pPr>
        <w:spacing/>
        <w:rPr/>
      </w:pPr>
      <w:r>
        <w:rPr/>
        <w:t xml:space="preserve">Paths.JPG</w:t>
      </w:r>
    </w:p>
    <w:p>
      <w:pPr>
        <w:pStyle w:val="ListBullet"/>
        <w:numPr>
          <w:ilvl w:val="0"/>
          <w:numId w:val="35"/>
        </w:numPr>
        <w:spacing/>
        <w:rPr/>
      </w:pPr>
      <w:r>
        <w:rPr/>
        <w:t xml:space="preserve">Handrails and stairs are built as per state/territory building code.</w:t>
      </w:r>
    </w:p>
    <w:p>
      <w:pPr>
        <w:pStyle w:val="ListBullet"/>
        <w:numPr>
          <w:ilvl w:val="0"/>
          <w:numId w:val="35"/>
        </w:numPr>
        <w:spacing/>
        <w:rPr/>
      </w:pPr>
      <w:r>
        <w:rPr/>
        <w:t xml:space="preserve">Slip resistance surfaces are used.</w:t>
      </w:r>
    </w:p>
    <w:p>
      <w:pPr>
        <w:pStyle w:val="ListBullet"/>
        <w:numPr>
          <w:ilvl w:val="0"/>
          <w:numId w:val="35"/>
        </w:numPr>
        <w:spacing/>
        <w:rPr/>
      </w:pPr>
      <w:r>
        <w:rPr/>
        <w:t xml:space="preserve">A handrail is available and at 865-965mm in height.</w:t>
      </w:r>
    </w:p>
    <w:p>
      <w:pPr>
        <w:pStyle w:val="ListBullet"/>
        <w:numPr>
          <w:ilvl w:val="0"/>
          <w:numId w:val="35"/>
        </w:numPr>
        <w:spacing/>
        <w:rPr/>
      </w:pPr>
      <w:r>
        <w:rPr/>
        <w:t xml:space="preserve">The handrail is continuously graspable along entire length at least one side.</w:t>
      </w:r>
    </w:p>
    <w:p>
      <w:pPr>
        <w:pStyle w:val="Subtitle"/>
        <w:spacing/>
        <w:rPr/>
      </w:pPr>
      <w:r>
        <w:rPr/>
        <w:t xml:space="preserve">Parks and Gardens Stair entry and exit Image(s)</w:t>
      </w:r>
    </w:p>
    <w:p>
      <w:pPr>
        <w:spacing/>
        <w:rPr/>
      </w:pPr>
      <w:r>
        <w:rPr/>
        <w:drawing>
          <wp:inline>
            <wp:extent cx="2540000" cy="1905000"/>
            <wp:docPr id="21" name="Picture 1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0"/>
                    <a:srcRect/>
                    <a:stretch>
                      <a:fillRect/>
                    </a:stretch>
                  </pic:blipFill>
                  <pic:spPr bwMode="auto">
                    <a:xfrm>
                      <a:off x="0" y="0"/>
                      <a:ext cx="2540000" cy="1905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Stairs and handrail.JPG</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9" w:name="_Toc0000000025"/>
      <w:r>
        <w:rPr/>
        <w:t xml:space="preserve">Report Disclaimer</w:t>
      </w:r>
      <w:bookmarkEnd w:id="29"/>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08C53BE1"/>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1" Type="http://schemas.openxmlformats.org/officeDocument/2006/relationships/styles" Target="styles.xml" /><Relationship Id="rId22" Type="http://schemas.openxmlformats.org/officeDocument/2006/relationships/settings" Target="settings.xml" /><Relationship Id="rId23" Type="http://schemas.openxmlformats.org/officeDocument/2006/relationships/theme" Target="theme/theme1.xml" /><Relationship Id="rId24" Type="http://schemas.openxmlformats.org/officeDocument/2006/relationships/numbering" Target="numbering.xml" /><Relationship Id="rId1" Type="http://schemas.openxmlformats.org/officeDocument/2006/relationships/footer" Target="footer1.xml" /><Relationship Id="rId25"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2" Type="http://schemas.openxmlformats.org/officeDocument/2006/relationships/image" Target="media/image11.jpeg" /><Relationship Id="rId13" Type="http://schemas.openxmlformats.org/officeDocument/2006/relationships/image" Target="media/image12.jpeg" /><Relationship Id="rId14" Type="http://schemas.openxmlformats.org/officeDocument/2006/relationships/image" Target="media/image13.jpeg" /><Relationship Id="rId15" Type="http://schemas.openxmlformats.org/officeDocument/2006/relationships/image" Target="media/image14.jpeg" /><Relationship Id="rId16" Type="http://schemas.openxmlformats.org/officeDocument/2006/relationships/image" Target="media/image15.jpeg" /><Relationship Id="rId17" Type="http://schemas.openxmlformats.org/officeDocument/2006/relationships/image" Target="media/image16.jpeg" /><Relationship Id="rId18" Type="http://schemas.openxmlformats.org/officeDocument/2006/relationships/image" Target="media/image17.jpeg" /><Relationship Id="rId19" Type="http://schemas.openxmlformats.org/officeDocument/2006/relationships/image" Target="media/image18.jpeg" /><Relationship Id="rId20" Type="http://schemas.openxmlformats.org/officeDocument/2006/relationships/image" Target="media/image19.jpeg" /><Relationship Id="rId26" Type="http://schemas.openxmlformats.org/officeDocument/2006/relationships/customXml" Target="../customXml/item1.xml" /><Relationship Id="rId27" Type="http://schemas.openxmlformats.org/officeDocument/2006/relationships/customXml" Target="../customXml/item2.xml" /><Relationship Id="rId28" Type="http://schemas.openxmlformats.org/officeDocument/2006/relationships/customXml" Target="../customXml/item3.xml" /><Relationship Id="rId29"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