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Charter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Wickling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Beckenham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KEI TAKAKUWA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0481910554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perthchartertours@gmail.com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https://www.perthchartertours.com/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2026-10-15 06:51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drawing>
          <wp:inline>
            <wp:extent cx="2540000" cy="1701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701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spacing/>
        <w:rPr/>
      </w:pPr>
    </w:p>
    <w:p>
      <w:pPr>
        <w:pBdr/>
        <w:spacing/>
        <w:rPr/>
      </w:pPr>
      <w:r>
        <w:rPr/>
        <w:t xml:space="preserve">Our business provides private vehicle tours rather than accommodation or a fixed venue. We do not have a guest arrival or check-in procedure where emergency evacuation procedures would normally be explained.</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Service animals are welcome on our tours. We accommodate service animals in accordance with applicable Australian laws and requirements.</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our tours are private and exclusive to each booking group, guests do not have to wait for other customers. We can also adjust the itinerary and allow additional rest breaks where reasonably required.</w:t>
      </w:r>
    </w:p>
    <w:p>
      <w:pPr>
        <w:pBdr/>
        <w:spacing/>
        <w:rPr/>
      </w:pPr>
    </w:p>
    <w:p>
      <w:pPr>
        <w:pBdr/>
        <w:spacing/>
        <w:rPr/>
      </w:pPr>
    </w:p>
    <w:p>
      <w:pPr>
        <w:spacing/>
        <w:rPr/>
      </w:pPr>
      <w:r>
        <w:rPr/>
        <w:t xml:space="preserve"> </w:t>
      </w:r>
    </w:p>
    <w:p>
      <w:pPr>
        <w:pStyle w:val="Heading2"/>
        <w:spacing/>
        <w:rPr/>
      </w:pPr>
      <w:bookmarkStart w:id="11" w:name="_Toc0000000007"/>
      <w:r>
        <w:rPr/>
        <w:t xml:space="preserve">Displays, exhibits, commentary and live performances</w:t>
      </w:r>
      <w:bookmarkEnd w:id="11"/>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N/A. We do not operate or manage fixed pathways. Pathway widths vary depending on the destinations and venues visited during each tour.</w:t>
      </w:r>
    </w:p>
    <w:p>
      <w:pPr>
        <w:spacing/>
        <w:rPr/>
      </w:pPr>
    </w:p>
    <w:p>
      <w:pPr>
        <w:pBdr/>
        <w:spacing/>
        <w:rPr/>
      </w:pPr>
      <w:r>
        <w:rPr/>
        <w:t xml:space="preserve">N/A. We do not operate or manage fixed pathways or doorways. Access and steps vary depending on the destinations and venues visited during each tour.</w:t>
      </w:r>
    </w:p>
    <w:p>
      <w:pPr>
        <w:spacing/>
        <w:rPr/>
      </w:pPr>
    </w:p>
    <w:p>
      <w:pPr>
        <w:pBdr/>
        <w:spacing/>
        <w:rPr/>
      </w:pPr>
      <w:r>
        <w:rPr/>
        <w:t xml:space="preserve">N/A. We do not operate or manage fixed pathways. Accessibility information and signage for paths with steps depend on the destinations and venues visited during each tour.</w:t>
      </w:r>
    </w:p>
    <w:p>
      <w:pPr>
        <w:pStyle w:val="Heading1"/>
        <w:spacing/>
        <w:rPr/>
      </w:pPr>
      <w:bookmarkStart w:id="12" w:name="_Toc0000000008"/>
      <w:r>
        <w:rPr/>
        <w:t xml:space="preserve">TOUR OPERATORS</w:t>
      </w:r>
      <w:bookmarkEnd w:id="12"/>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Route Planning</w:t>
      </w:r>
    </w:p>
    <w:p>
      <w:pPr>
        <w:spacing/>
        <w:rPr/>
      </w:pPr>
      <w:r>
        <w:rPr/>
        <w:t xml:space="preserve"> </w:t>
      </w:r>
    </w:p>
    <w:p>
      <w:pPr>
        <w:pStyle w:val="Heading2"/>
        <w:spacing/>
        <w:rPr/>
      </w:pPr>
      <w:bookmarkStart w:id="14" w:name="_Toc0000000010"/>
      <w:r>
        <w:rPr/>
        <w:t xml:space="preserve">Guides</w:t>
      </w:r>
      <w:bookmarkEnd w:id="1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Caversham Wildlife Park – https://cavershamwildlife.com.au/</w:t>
      </w:r>
    </w:p>
    <w:p>
      <w:pPr>
        <w:pBdr/>
        <w:spacing/>
        <w:rPr/>
      </w:pPr>
      <w:r>
        <w:rPr/>
        <w:t xml:space="preserve">Cohunu Koala Park – https://cohunukoalapark.com.au/</w:t>
      </w:r>
    </w:p>
    <w:p>
      <w:pPr>
        <w:pBdr/>
        <w:spacing/>
        <w:rPr/>
      </w:pPr>
      <w:r>
        <w:rPr/>
        <w:t xml:space="preserve">Pinelli Estate – https://www.pinelliwines.com.au/</w:t>
      </w:r>
    </w:p>
    <w:p>
      <w:pPr>
        <w:pBdr/>
        <w:spacing/>
        <w:rPr/>
      </w:pPr>
      <w:r>
        <w:rPr/>
        <w:t xml:space="preserve">The Margaret River Chocolate Company – https://chocolatefactory.com.au/</w:t>
      </w:r>
    </w:p>
    <w:p>
      <w:pPr>
        <w:pBdr/>
        <w:spacing/>
        <w:rPr/>
      </w:pPr>
      <w:r>
        <w:rPr/>
        <w:t xml:space="preserve">Lobster Shack Cervantes – https://lobstershack.com.au/</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BDA92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