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Eden Yarra Valley</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305 Steels Creek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Yarra Glen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Lisa Chapman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0419 368 031</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hello@edenyarravalley.com.au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edenyarravalley.com.au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2026-06-06 12:40</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Steps</w:t>
          </w:r>
          <w:r>
            <w:rPr/>
            <w:tab/>
            <w:t xml:space="preserve"/>
          </w:r>
          <w:r>
            <w:rPr/>
            <w:fldChar w:fldCharType="begin"/>
          </w:r>
          <w:r>
            <w:rPr/>
            <w:instrText xml:space="preserve">PAGEREF _Toc0000000013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Play Spaces</w:t>
          </w:r>
          <w:r>
            <w:rPr/>
            <w:tab/>
            <w:t xml:space="preserve"/>
          </w:r>
          <w:r>
            <w:rPr/>
            <w:fldChar w:fldCharType="begin"/>
          </w:r>
          <w:r>
            <w:rPr/>
            <w:instrText xml:space="preserve">PAGEREF _Toc0000000020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_Toc0000000021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Parks and gardens</w:t>
          </w:r>
          <w:r>
            <w:rPr/>
            <w:tab/>
            <w:t xml:space="preserve"/>
          </w:r>
          <w:r>
            <w:rPr/>
            <w:fldChar w:fldCharType="begin"/>
          </w:r>
          <w:r>
            <w:rPr/>
            <w:instrText xml:space="preserve">PAGEREF _Toc0000000022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_Toc0000000023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_Toc0000000024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_Toc0000000025 \h</w:instrText>
          </w:r>
          <w:r>
            <w:rPr/>
            <w:fldChar w:fldCharType="separate"/>
          </w:r>
          <w:r>
            <w:rPr/>
            <w:t xml:space="preserve">15</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016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016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Door exits are clear at time of guest arrivals. No objects near doors which may be a barrier to exit.</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As the estate is private and self-catering with no staff onsite, hosts are responsible for additional guest assistance. Evacuation and fire safety information is displayed in common areas.</w:t>
      </w:r>
    </w:p>
    <w:p>
      <w:pPr>
        <w:spacing/>
        <w:rPr/>
      </w:pPr>
      <w:r>
        <w:rPr/>
        <w:t xml:space="preserve">The procedure for assisting guests who need assisted rescue is: </w:t>
      </w:r>
    </w:p>
    <w:p>
      <w:pPr>
        <w:pBdr/>
        <w:spacing/>
        <w:rPr/>
      </w:pPr>
      <w:r>
        <w:rPr/>
        <w:t xml:space="preserve">See above.</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All pathways, decks and other areas are well lit for safety. Additional handrails for every step for addded safety. Bath aids supplied.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Service animals are welcome to stay with guests. Any special requests wouldbe accommodated wherever required.</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No waiting applies, no public areas. Set check in times for guests. Early check in is provided when possible, ie people arriving from a flight earlier than standard Eden check in, or with disability needs.</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r>
        <w:rPr/>
        <w:t xml:space="preserve"> </w:t>
      </w:r>
    </w:p>
    <w:p>
      <w:pPr>
        <w:pStyle w:val="Heading2"/>
        <w:spacing/>
        <w:rPr/>
      </w:pPr>
      <w:bookmarkStart w:id="17" w:name="_Toc0000000013"/>
      <w:r>
        <w:rPr/>
        <w:t xml:space="preserve">Steps</w:t>
      </w:r>
      <w:bookmarkEnd w:id="17"/>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Where steps are present are there three steps or less</w:t>
      </w:r>
    </w:p>
    <w:p>
      <w:pPr>
        <w:pStyle w:val="Heading1"/>
        <w:spacing/>
        <w:rPr/>
      </w:pPr>
      <w:bookmarkStart w:id="18" w:name="_Toc0000000014"/>
      <w:r>
        <w:rPr/>
        <w:t xml:space="preserve">TOUR OPERATORS</w:t>
      </w:r>
      <w:bookmarkEnd w:id="18"/>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Heading1"/>
        <w:spacing/>
        <w:rPr/>
      </w:pPr>
      <w:bookmarkStart w:id="19" w:name="_Toc0000000015"/>
      <w:r>
        <w:rPr/>
        <w:t xml:space="preserve">ACCOMMODATION</w:t>
      </w:r>
      <w:bookmarkEnd w:id="19"/>
    </w:p>
    <w:p>
      <w:pPr>
        <w:spacing/>
        <w:rPr/>
      </w:pPr>
      <w:r>
        <w:rPr/>
        <w:t xml:space="preserve"> </w:t>
      </w:r>
    </w:p>
    <w:p>
      <w:pPr>
        <w:pStyle w:val="Heading2"/>
        <w:spacing/>
        <w:rPr/>
      </w:pPr>
      <w:bookmarkStart w:id="20" w:name="_Toc0000000016"/>
      <w:r>
        <w:rPr/>
        <w:t xml:space="preserve">Bedrooms</w:t>
      </w:r>
      <w:bookmarkEnd w:id="20"/>
    </w:p>
    <w:p>
      <w:pPr>
        <w:spacing/>
        <w:rPr/>
      </w:pPr>
      <w:r>
        <w:rPr/>
        <w:t xml:space="preserve">The bedrooms  have the following facilities/amenities in place</w:t>
      </w:r>
    </w:p>
    <w:p>
      <w:pPr>
        <w:pStyle w:val="ListBullet"/>
        <w:numPr>
          <w:ilvl w:val="0"/>
          <w:numId w:val="35"/>
        </w:numPr>
        <w:spacing/>
        <w:rPr/>
      </w:pPr>
      <w:r>
        <w:rPr/>
        <w:t xml:space="preserve">There are 5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t xml:space="preserve"> </w:t>
      </w:r>
    </w:p>
    <w:p>
      <w:pPr>
        <w:pStyle w:val="Heading2"/>
        <w:spacing/>
        <w:rPr/>
      </w:pPr>
      <w:bookmarkStart w:id="21" w:name="_Toc0000000017"/>
      <w:r>
        <w:rPr/>
        <w:t xml:space="preserve">Room Amenities</w:t>
      </w:r>
      <w:bookmarkEnd w:id="21"/>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22" w:name="_Toc0000000018"/>
      <w:r>
        <w:rPr/>
        <w:t xml:space="preserve">Bathrooms</w:t>
      </w:r>
      <w:bookmarkEnd w:id="22"/>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width of the door is 750mm.</w:t>
      </w:r>
    </w:p>
    <w:p>
      <w:pPr>
        <w:pStyle w:val="ListBullet"/>
        <w:numPr>
          <w:ilvl w:val="0"/>
          <w:numId w:val="35"/>
        </w:numPr>
        <w:spacing/>
        <w:rPr/>
      </w:pPr>
      <w:r>
        <w:rPr/>
        <w:t xml:space="preserve">The width beside the toilet is 700mm.</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portable shower head on flexible hose</w:t>
      </w:r>
    </w:p>
    <w:p>
      <w:pPr>
        <w:pStyle w:val="ListBullet"/>
        <w:numPr>
          <w:ilvl w:val="0"/>
          <w:numId w:val="35"/>
        </w:numPr>
        <w:spacing/>
        <w:rPr/>
      </w:pPr>
      <w:r>
        <w:rPr/>
        <w:t xml:space="preserve">A door is fitted to the shower</w:t>
      </w:r>
    </w:p>
    <w:p>
      <w:pPr>
        <w:pStyle w:val="ListBullet"/>
        <w:numPr>
          <w:ilvl w:val="0"/>
          <w:numId w:val="35"/>
        </w:numPr>
        <w:spacing/>
        <w:rPr/>
      </w:pPr>
      <w:r>
        <w:rPr/>
        <w:t xml:space="preserve">A door is fitted to the showers with an outward swing at minimum width of 900 mm</w:t>
      </w:r>
    </w:p>
    <w:p>
      <w:pPr>
        <w:pStyle w:val="Subtitle"/>
        <w:spacing/>
        <w:rPr/>
      </w:pPr>
      <w:r>
        <w:rPr/>
        <w:t xml:space="preserve">Bathroom Image(s)</w:t>
      </w:r>
    </w:p>
    <w:p>
      <w:pPr>
        <w:spacing/>
        <w:rPr/>
      </w:pPr>
      <w:r>
        <w:rPr/>
        <w:drawing>
          <wp:inline>
            <wp:extent cx="2540000" cy="1689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89100"/>
                    </a:xfrm>
                    <a:prstGeom prst="rect">
                      <a:avLst/>
                    </a:prstGeom>
                  </pic:spPr>
                </pic:pic>
              </a:graphicData>
            </a:graphic>
          </wp:inline>
        </w:drawing>
      </w:r>
    </w:p>
    <w:p>
      <w:pPr>
        <w:spacing/>
        <w:rPr/>
      </w:pPr>
      <w:r>
        <w:rPr/>
        <w:t xml:space="preserve">Bedroom 7 spacious bathroom with accesible toilet and separate shower</w:t>
      </w:r>
    </w:p>
    <w:p>
      <w:pPr>
        <w:pStyle w:val="ListBullet"/>
        <w:numPr>
          <w:ilvl w:val="0"/>
          <w:numId w:val="35"/>
        </w:numPr>
        <w:spacing/>
        <w:rPr/>
      </w:pPr>
      <w:r>
        <w:rPr/>
        <w:t xml:space="preserve">In addition, the following further information can assist guests:</w:t>
      </w:r>
    </w:p>
    <w:p>
      <w:pPr>
        <w:spacing/>
        <w:rPr/>
      </w:pPr>
      <w:r>
        <w:rPr/>
        <w:t xml:space="preserve">Single level large suite, with spacious ensuite with separate shower and accessible toilet.</w:t>
      </w:r>
    </w:p>
    <w:p>
      <w:pPr>
        <w:pStyle w:val="Heading1"/>
        <w:spacing/>
        <w:rPr/>
      </w:pPr>
      <w:bookmarkStart w:id="23" w:name="_Toc0000000019"/>
      <w:r>
        <w:rPr/>
        <w:t xml:space="preserve">COMMON AREAS</w:t>
      </w:r>
      <w:bookmarkEnd w:id="23"/>
    </w:p>
    <w:p>
      <w:pPr>
        <w:spacing/>
        <w:rPr/>
      </w:pPr>
      <w:r>
        <w:rPr/>
        <w:t xml:space="preserve"> </w:t>
      </w:r>
    </w:p>
    <w:p>
      <w:pPr>
        <w:pStyle w:val="Heading2"/>
        <w:spacing/>
        <w:rPr/>
      </w:pPr>
      <w:bookmarkStart w:id="24" w:name="_Toc0000000020"/>
      <w:r>
        <w:rPr/>
        <w:t xml:space="preserve">Play Spaces</w:t>
      </w:r>
      <w:bookmarkEnd w:id="24"/>
    </w:p>
    <w:p>
      <w:pPr>
        <w:pStyle w:val="ListBullet"/>
        <w:numPr>
          <w:ilvl w:val="0"/>
          <w:numId w:val="35"/>
        </w:numPr>
        <w:spacing/>
        <w:rPr/>
      </w:pPr>
      <w:r>
        <w:rPr/>
        <w:t xml:space="preserve">Level access is provided to play spaces</w:t>
      </w:r>
    </w:p>
    <w:p>
      <w:pPr>
        <w:pStyle w:val="ListBullet"/>
        <w:numPr>
          <w:ilvl w:val="0"/>
          <w:numId w:val="35"/>
        </w:numPr>
        <w:spacing/>
        <w:rPr/>
      </w:pPr>
      <w:r>
        <w:rPr/>
        <w:t xml:space="preserve">Ramps provided are at least 25% of elevated sections of the play space</w:t>
      </w:r>
    </w:p>
    <w:p>
      <w:pPr>
        <w:pStyle w:val="Subtitle"/>
        <w:spacing/>
        <w:rPr/>
      </w:pPr>
      <w:r>
        <w:rPr/>
        <w:t xml:space="preserve">Image(s)</w:t>
      </w:r>
    </w:p>
    <w:p>
      <w:pPr>
        <w:spacing/>
        <w:rPr/>
      </w:pPr>
      <w:r>
        <w:rPr/>
        <w:drawing>
          <wp:inline>
            <wp:extent cx="2540000" cy="14224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422400"/>
                    </a:xfrm>
                    <a:prstGeom prst="rect">
                      <a:avLst/>
                    </a:prstGeom>
                  </pic:spPr>
                </pic:pic>
              </a:graphicData>
            </a:graphic>
          </wp:inline>
        </w:drawing>
      </w:r>
    </w:p>
    <w:p>
      <w:pPr>
        <w:spacing/>
        <w:rPr/>
      </w:pPr>
      <w:r>
        <w:rPr/>
        <w:t xml:space="preserve">Exterior Main Entry Parking</w:t>
      </w:r>
    </w:p>
    <w:p>
      <w:pPr>
        <w:pStyle w:val="ListBullet"/>
        <w:numPr>
          <w:ilvl w:val="0"/>
          <w:numId w:val="35"/>
        </w:numPr>
        <w:spacing/>
        <w:rPr/>
      </w:pPr>
      <w:r>
        <w:rPr/>
        <w:t xml:space="preserve">In addition, the following further information can assist guests:</w:t>
      </w:r>
    </w:p>
    <w:p>
      <w:pPr>
        <w:spacing/>
        <w:rPr/>
      </w:pPr>
      <w:r>
        <w:rPr/>
        <w:t xml:space="preserve">Large parking areas.</w:t>
      </w:r>
    </w:p>
    <w:p>
      <w:pPr>
        <w:spacing/>
        <w:rPr/>
      </w:pPr>
      <w:r>
        <w:rPr/>
        <w:t xml:space="preserve"> </w:t>
      </w:r>
    </w:p>
    <w:p>
      <w:pPr>
        <w:pStyle w:val="Heading2"/>
        <w:spacing/>
        <w:rPr/>
      </w:pPr>
      <w:bookmarkStart w:id="25" w:name="_Toc0000000021"/>
      <w:r>
        <w:rPr/>
        <w:t xml:space="preserve">Swimming pools, spas and waterparks</w:t>
      </w:r>
      <w:bookmarkEnd w:id="25"/>
    </w:p>
    <w:p>
      <w:pPr>
        <w:pStyle w:val="ListBullet"/>
        <w:numPr>
          <w:ilvl w:val="0"/>
          <w:numId w:val="35"/>
        </w:numPr>
        <w:spacing/>
        <w:rPr/>
      </w:pPr>
      <w:r>
        <w:rPr/>
        <w:t xml:space="preserve">The following swimming pools, spas and waterparks amenities are available</w:t>
      </w:r>
    </w:p>
    <w:p>
      <w:pPr>
        <w:pStyle w:val="ListBullet"/>
        <w:numPr>
          <w:ilvl w:val="0"/>
          <w:numId w:val="35"/>
        </w:numPr>
        <w:spacing/>
        <w:rPr/>
      </w:pPr>
      <w:r>
        <w:rPr/>
        <w:t xml:space="preserve">Unisex change facilities with an accessible toilet</w:t>
      </w:r>
    </w:p>
    <w:p>
      <w:pPr>
        <w:pStyle w:val="ListBullet"/>
        <w:numPr>
          <w:ilvl w:val="0"/>
          <w:numId w:val="35"/>
        </w:numPr>
        <w:spacing/>
        <w:rPr/>
      </w:pPr>
      <w:r>
        <w:rPr/>
        <w:t xml:space="preserve">In addition, the following further information can assist guests:</w:t>
      </w:r>
    </w:p>
    <w:p>
      <w:pPr>
        <w:spacing/>
        <w:rPr/>
      </w:pPr>
      <w:r>
        <w:rPr/>
        <w:t xml:space="preserve">No pool accessibility features</w:t>
      </w:r>
    </w:p>
    <w:p>
      <w:pPr>
        <w:spacing/>
        <w:rPr/>
      </w:pPr>
      <w:r>
        <w:rPr/>
        <w:t xml:space="preserve"> </w:t>
      </w:r>
    </w:p>
    <w:p>
      <w:pPr>
        <w:pStyle w:val="Heading2"/>
        <w:spacing/>
        <w:rPr/>
      </w:pPr>
      <w:bookmarkStart w:id="26" w:name="_Toc0000000022"/>
      <w:r>
        <w:rPr/>
        <w:t xml:space="preserve">Parks and gardens</w:t>
      </w:r>
      <w:bookmarkEnd w:id="26"/>
    </w:p>
    <w:p>
      <w:pPr>
        <w:pStyle w:val="ListBullet"/>
        <w:numPr>
          <w:ilvl w:val="0"/>
          <w:numId w:val="35"/>
        </w:numPr>
        <w:spacing/>
        <w:rPr/>
      </w:pPr>
      <w:r>
        <w:rPr/>
        <w:t xml:space="preserve">The following parks and gardens amenities are available</w:t>
      </w:r>
    </w:p>
    <w:p>
      <w:pPr>
        <w:pStyle w:val="ListBullet"/>
        <w:numPr>
          <w:ilvl w:val="0"/>
          <w:numId w:val="35"/>
        </w:numPr>
        <w:spacing/>
        <w:rPr/>
      </w:pPr>
      <w:r>
        <w:rPr/>
        <w:t xml:space="preserve">Seats are provided at regular intervals</w:t>
      </w:r>
    </w:p>
    <w:p>
      <w:pPr>
        <w:pStyle w:val="ListBullet"/>
        <w:numPr>
          <w:ilvl w:val="0"/>
          <w:numId w:val="35"/>
        </w:numPr>
        <w:spacing/>
        <w:rPr/>
      </w:pPr>
      <w:r>
        <w:rPr/>
        <w:t xml:space="preserve">Accessible BBQs</w:t>
      </w:r>
    </w:p>
    <w:p>
      <w:pPr>
        <w:pStyle w:val="Subtitle"/>
        <w:spacing/>
        <w:rPr/>
      </w:pPr>
      <w:r>
        <w:rPr/>
        <w:t xml:space="preserve">Parks and Gardens Access/Entry Image(s)</w:t>
      </w:r>
    </w:p>
    <w:p>
      <w:pPr>
        <w:spacing/>
        <w:rPr/>
      </w:pPr>
      <w:r>
        <w:rPr/>
        <w:drawing>
          <wp:inline>
            <wp:extent cx="2540000" cy="1422400"/>
            <wp:docPr id="4"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422400"/>
                    </a:xfrm>
                    <a:prstGeom prst="rect">
                      <a:avLst/>
                    </a:prstGeom>
                  </pic:spPr>
                </pic:pic>
              </a:graphicData>
            </a:graphic>
          </wp:inline>
        </w:drawing>
      </w:r>
    </w:p>
    <w:p>
      <w:pPr>
        <w:spacing/>
        <w:rPr/>
      </w:pPr>
      <w:r>
        <w:rPr/>
        <w:t xml:space="preserve">Exterior Main Entry Parking</w:t>
      </w:r>
    </w:p>
    <w:p>
      <w:pPr>
        <w:spacing/>
        <w:rPr/>
      </w:pPr>
      <w:r>
        <w:rPr/>
        <w:drawing>
          <wp:inline>
            <wp:extent cx="2540000" cy="1422400"/>
            <wp:docPr id="5"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422400"/>
                    </a:xfrm>
                    <a:prstGeom prst="rect">
                      <a:avLst/>
                    </a:prstGeom>
                  </pic:spPr>
                </pic:pic>
              </a:graphicData>
            </a:graphic>
          </wp:inline>
        </w:drawing>
      </w:r>
    </w:p>
    <w:p>
      <w:pPr>
        <w:spacing/>
        <w:rPr/>
      </w:pPr>
      <w:r>
        <w:rPr/>
        <w:t xml:space="preserve">Exterior front drive</w:t>
      </w:r>
    </w:p>
    <w:p>
      <w:pPr>
        <w:pStyle w:val="ListBullet"/>
        <w:numPr>
          <w:ilvl w:val="0"/>
          <w:numId w:val="35"/>
        </w:numPr>
        <w:spacing/>
        <w:rPr/>
      </w:pPr>
      <w:r>
        <w:rPr/>
        <w:t xml:space="preserve">In addition, the following further information can assist guests:</w:t>
      </w:r>
    </w:p>
    <w:p>
      <w:pPr>
        <w:spacing/>
        <w:rPr/>
      </w:pPr>
      <w:r>
        <w:rPr/>
        <w:t xml:space="preserve">Large parking areas suitable for wheelchairs.Large bedrooms suites could cater for wheelchair users. 1 step access to rooms.</w:t>
      </w:r>
    </w:p>
    <w:p>
      <w:pPr>
        <w:pStyle w:val="ListBullet"/>
        <w:numPr>
          <w:ilvl w:val="0"/>
          <w:numId w:val="35"/>
        </w:numPr>
        <w:spacing/>
        <w:rPr/>
      </w:pPr>
      <w:r>
        <w:rPr/>
        <w:t xml:space="preserve">Handrails and stairs are built as per state/territory building code.</w:t>
      </w:r>
    </w:p>
    <w:p>
      <w:pPr>
        <w:pStyle w:val="ListBullet"/>
        <w:numPr>
          <w:ilvl w:val="0"/>
          <w:numId w:val="35"/>
        </w:numPr>
        <w:spacing/>
        <w:rPr/>
      </w:pPr>
      <w:r>
        <w:rPr/>
        <w:t xml:space="preserve">Slip resistance surfaces are used.</w:t>
      </w:r>
    </w:p>
    <w:p>
      <w:pPr>
        <w:pStyle w:val="ListBullet"/>
        <w:numPr>
          <w:ilvl w:val="0"/>
          <w:numId w:val="35"/>
        </w:numPr>
        <w:spacing/>
        <w:rPr/>
      </w:pPr>
      <w:r>
        <w:rPr/>
        <w:t xml:space="preserve">A handrail is available and at 865-965mm in height.</w:t>
      </w:r>
    </w:p>
    <w:p>
      <w:pPr>
        <w:pStyle w:val="Subtitle"/>
        <w:spacing/>
        <w:rPr/>
      </w:pPr>
      <w:r>
        <w:rPr/>
        <w:t xml:space="preserve">Parks and Gardens Stair entry and exit Image(s)</w:t>
      </w:r>
    </w:p>
    <w:p>
      <w:pPr>
        <w:spacing/>
        <w:rPr/>
      </w:pPr>
      <w:r>
        <w:rPr/>
        <w:drawing>
          <wp:inline>
            <wp:extent cx="2540000" cy="1689100"/>
            <wp:docPr id="6"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689100"/>
                    </a:xfrm>
                    <a:prstGeom prst="rect">
                      <a:avLst/>
                    </a:prstGeom>
                  </pic:spPr>
                </pic:pic>
              </a:graphicData>
            </a:graphic>
          </wp:inline>
        </w:drawing>
      </w:r>
    </w:p>
    <w:p>
      <w:pPr>
        <w:spacing/>
        <w:rPr/>
      </w:pPr>
      <w:r>
        <w:rPr/>
        <w:t xml:space="preserve">Front entry deck with lounge area</w:t>
      </w:r>
    </w:p>
    <w:p>
      <w:pPr>
        <w:pStyle w:val="Heading1"/>
        <w:spacing/>
        <w:rPr/>
      </w:pPr>
      <w:bookmarkStart w:id="27" w:name="_Toc0000000023"/>
      <w:r>
        <w:rPr/>
        <w:t xml:space="preserve">FOOD AND DRINK</w:t>
      </w:r>
      <w:bookmarkEnd w:id="27"/>
    </w:p>
    <w:p>
      <w:pPr>
        <w:spacing/>
        <w:rPr/>
      </w:pPr>
      <w:r>
        <w:rPr/>
        <w:t xml:space="preserve"> </w:t>
      </w:r>
    </w:p>
    <w:p>
      <w:pPr>
        <w:pStyle w:val="Heading2"/>
        <w:spacing/>
        <w:rPr/>
      </w:pPr>
      <w:bookmarkStart w:id="28" w:name="_Toc0000000024"/>
      <w:r>
        <w:rPr/>
        <w:t xml:space="preserve">Dining Spaces</w:t>
      </w:r>
      <w:bookmarkEnd w:id="28"/>
    </w:p>
    <w:p>
      <w:pPr>
        <w:spacing/>
        <w:rPr/>
      </w:pPr>
      <w:r>
        <w:rPr/>
        <w:t xml:space="preserve">The dining spaces  have the following facilities/amenities in place</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Estate is self catering. Unless Professional caterers are providing food, and they can cater to all dietary requirements listed.</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9" w:name="_Toc0000000025"/>
      <w:r>
        <w:rPr/>
        <w:t xml:space="preserve">Report Disclaimer</w:t>
      </w:r>
      <w:bookmarkEnd w:id="29"/>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1726274"/>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7" Type="http://schemas.openxmlformats.org/officeDocument/2006/relationships/styles" Target="styles.xml" /><Relationship Id="rId8" Type="http://schemas.openxmlformats.org/officeDocument/2006/relationships/settings" Target="settings.xml" /><Relationship Id="rId9" Type="http://schemas.openxmlformats.org/officeDocument/2006/relationships/theme" Target="theme/theme1.xml" /><Relationship Id="rId10" Type="http://schemas.openxmlformats.org/officeDocument/2006/relationships/numbering" Target="numbering.xml" /><Relationship Id="rId1" Type="http://schemas.openxmlformats.org/officeDocument/2006/relationships/footer" Target="footer1.xml" /><Relationship Id="rId11"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