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Geraldton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Brand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Tarcoola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Sidebottom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9964 4777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reception@gminn.com.au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https://www.geraldtonmotorinn.com.au/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15:58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30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30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ensuring the exit is clear at all times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through communication </w:t>
      </w:r>
    </w:p>
    <w:p>
      <w:pPr>
        <w:pStyle w:val="ListBullet"/>
        <w:numPr>
          <w:ilvl w:val="0"/>
          <w:numId w:val="35"/>
        </w:numPr>
        <w:spacing/>
        <w:rPr/>
      </w:pPr>
      <w:r>
        <w:rPr/>
        <w:t xml:space="preserve">In addition, the following further information can assist guests:</w:t>
      </w:r>
    </w:p>
    <w:p>
      <w:pPr>
        <w:spacing/>
        <w:rPr/>
      </w:pPr>
      <w:r>
        <w:rPr/>
        <w:t xml:space="preserve">Safety first, and made a priority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a small business and do not have long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staff have done their food and safety handling course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www.geraldtonmotorinn.com.au</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20240506_122509</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20240506_122439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20240506_141514</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20240506_141522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20240506_122421</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20240506_122355</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535A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