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Geraldton Motor Inn</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113 Brand Highway</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Mount Tarcoola</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Michelle Sidebottom</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9964 4777</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reception@gminn.com.au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https://www.geraldtonmotorinn.com.au/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2026-11-01 21:50</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Communications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_Toc0000000006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GENERAL</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Entry</w:t>
          </w:r>
          <w:r>
            <w:rPr/>
            <w:tab/>
            <w:t xml:space="preserve"/>
          </w:r>
          <w:r>
            <w:rPr/>
            <w:fldChar w:fldCharType="begin"/>
          </w:r>
          <w:r>
            <w:rPr/>
            <w:instrText xml:space="preserve">PAGEREF _Toc0000000011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_Toc0000000015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Steps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Ramps</w:t>
          </w:r>
          <w:r>
            <w:rPr/>
            <w:tab/>
            <w:t xml:space="preserve"/>
          </w:r>
          <w:r>
            <w:rPr/>
            <w:fldChar w:fldCharType="begin"/>
          </w:r>
          <w:r>
            <w:rPr/>
            <w:instrText xml:space="preserve">PAGEREF _Toc0000000017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ACCOMMODATION</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Bedrooms</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Room Amenities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Bathrooms</w:t>
          </w:r>
          <w:r>
            <w:rPr/>
            <w:tab/>
            <w:t xml:space="preserve"/>
          </w:r>
          <w:r>
            <w:rPr/>
            <w:fldChar w:fldCharType="begin"/>
          </w:r>
          <w:r>
            <w:rPr/>
            <w:instrText xml:space="preserve">PAGEREF _Toc0000000021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EVENTS</w:t>
          </w:r>
          <w:r>
            <w:rPr/>
            <w:tab/>
            <w:t xml:space="preserve"/>
          </w:r>
          <w:r>
            <w:rPr/>
            <w:fldChar w:fldCharType="begin"/>
          </w:r>
          <w:r>
            <w:rPr/>
            <w:instrText xml:space="preserve">PAGEREF _Toc0000000025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Events</w:t>
          </w:r>
          <w:r>
            <w:rPr/>
            <w:tab/>
            <w:t xml:space="preserve"/>
          </w:r>
          <w:r>
            <w:rPr/>
            <w:fldChar w:fldCharType="begin"/>
          </w:r>
          <w:r>
            <w:rPr/>
            <w:instrText xml:space="preserve">PAGEREF _Toc0000000026 \h</w:instrText>
          </w:r>
          <w:r>
            <w:rPr/>
            <w:fldChar w:fldCharType="separate"/>
          </w:r>
          <w:r>
            <w:rPr/>
            <w:t xml:space="preserve">15</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_Toc0000000027 \h</w:instrText>
          </w:r>
          <w:r>
            <w:rPr/>
            <w:fldChar w:fldCharType="separate"/>
          </w:r>
          <w:r>
            <w:rPr/>
            <w:t xml:space="preserve">17</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Accommodation</w:t>
      </w:r>
    </w:p>
    <w:p>
      <w:pPr>
        <w:pStyle w:val="ListBullet"/>
        <w:numPr>
          <w:ilvl w:val="0"/>
          <w:numId w:val="35"/>
        </w:numPr>
        <w:spacing/>
        <w:rPr/>
      </w:pPr>
      <w:r>
        <w:rPr/>
        <w:t xml:space="preserve">Food and Drink</w:t>
      </w:r>
    </w:p>
    <w:p>
      <w:pPr>
        <w:pStyle w:val="ListBullet"/>
        <w:numPr>
          <w:ilvl w:val="0"/>
          <w:numId w:val="35"/>
        </w:numPr>
        <w:spacing/>
        <w:rPr/>
      </w:pPr>
      <w:r>
        <w:rPr/>
        <w:t xml:space="preserve">Event</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Blind or low vision</w:t>
      </w:r>
    </w:p>
    <w:p>
      <w:pPr>
        <w:pStyle w:val="ListBullet"/>
        <w:numPr>
          <w:ilvl w:val="0"/>
          <w:numId w:val="35"/>
        </w:numPr>
        <w:spacing/>
        <w:rPr/>
      </w:pPr>
      <w:r>
        <w:rPr/>
        <w:t xml:space="preserve">Deaf or low hearing</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pStyle w:val="ListBullet"/>
        <w:numPr>
          <w:ilvl w:val="0"/>
          <w:numId w:val="35"/>
        </w:numPr>
        <w:spacing/>
        <w:rPr/>
      </w:pPr>
      <w:r>
        <w:rPr/>
        <w:t xml:space="preserve">Cognitive or people on the Autism Spectrum</w:t>
      </w:r>
    </w:p>
    <w:p>
      <w:pPr>
        <w:spacing/>
        <w:rPr/>
      </w:pPr>
      <w:r>
        <w:rPr/>
        <w:drawing>
          <wp:inline>
            <wp:extent cx="2540000" cy="11303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1303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pStyle w:val="ListBullet"/>
        <w:numPr>
          <w:ilvl w:val="0"/>
          <w:numId w:val="35"/>
        </w:numPr>
        <w:spacing/>
        <w:rPr/>
      </w:pPr>
      <w:r>
        <w:rPr/>
        <w:t xml:space="preserve">Our forms have high contract boxes and submit boxes</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by ensuring the exit is clear at all times</w:t>
      </w:r>
    </w:p>
    <w:p>
      <w:pPr>
        <w:pStyle w:val="ListBullet"/>
        <w:numPr>
          <w:ilvl w:val="0"/>
          <w:numId w:val="35"/>
        </w:numPr>
        <w:spacing/>
        <w:rPr/>
      </w:pPr>
      <w:r>
        <w:rPr/>
        <w:t xml:space="preserve">Exit doors are able to be opened by all occupants</w:t>
      </w:r>
    </w:p>
    <w:p>
      <w:pPr>
        <w:pStyle w:val="ListBullet"/>
        <w:numPr>
          <w:ilvl w:val="0"/>
          <w:numId w:val="35"/>
        </w:numPr>
        <w:spacing/>
        <w:rPr/>
      </w:pPr>
      <w:r>
        <w:rPr/>
        <w:t xml:space="preserve">Exits to the emergency evacuation point does not include stairways</w:t>
      </w:r>
    </w:p>
    <w:p>
      <w:pPr>
        <w:pStyle w:val="ListBullet"/>
        <w:numPr>
          <w:ilvl w:val="0"/>
          <w:numId w:val="35"/>
        </w:numPr>
        <w:spacing/>
        <w:rPr/>
      </w:pPr>
      <w:r>
        <w:rPr/>
        <w:t xml:space="preserve">In addition, the following further information can assist guests:</w:t>
      </w:r>
    </w:p>
    <w:p>
      <w:pPr>
        <w:spacing/>
        <w:rPr/>
      </w:pPr>
      <w:r>
        <w:rPr/>
        <w:t xml:space="preserve">through communication </w:t>
      </w:r>
    </w:p>
    <w:p>
      <w:pPr>
        <w:pStyle w:val="ListBullet"/>
        <w:numPr>
          <w:ilvl w:val="0"/>
          <w:numId w:val="35"/>
        </w:numPr>
        <w:spacing/>
        <w:rPr/>
      </w:pPr>
      <w:r>
        <w:rPr/>
        <w:t xml:space="preserve">In addition, the following further information can assist guests:</w:t>
      </w:r>
    </w:p>
    <w:p>
      <w:pPr>
        <w:spacing/>
        <w:rPr/>
      </w:pPr>
      <w:r>
        <w:rPr/>
        <w:t xml:space="preserve">Safety first, and made a priority </w:t>
      </w:r>
    </w:p>
    <w:p>
      <w:pPr>
        <w:pStyle w:val="ListBullet"/>
        <w:numPr>
          <w:ilvl w:val="0"/>
          <w:numId w:val="35"/>
        </w:numPr>
        <w:spacing/>
        <w:rPr/>
      </w:pPr>
      <w:r>
        <w:rPr/>
        <w:t xml:space="preserve">Guests with disabilities are noted in the guest log book for emergency and evacuation purposes</w:t>
      </w:r>
    </w:p>
    <w:p>
      <w:pPr>
        <w:spacing/>
        <w:rPr/>
      </w:pPr>
      <w:r>
        <w:rPr/>
        <w:t xml:space="preserve"> </w:t>
      </w:r>
    </w:p>
    <w:p>
      <w:pPr>
        <w:pStyle w:val="Heading2"/>
        <w:spacing/>
        <w:rPr/>
      </w:pPr>
      <w:bookmarkStart w:id="9" w:name="_Toc0000000005"/>
      <w:r>
        <w:rPr/>
        <w:t xml:space="preserve">Communications</w:t>
      </w:r>
      <w:bookmarkEnd w:id="9"/>
    </w:p>
    <w:p>
      <w:pPr>
        <w:pStyle w:val="ListBullet"/>
        <w:numPr>
          <w:ilvl w:val="0"/>
          <w:numId w:val="35"/>
        </w:numPr>
        <w:spacing/>
        <w:rPr/>
      </w:pPr>
      <w:r>
        <w:rPr/>
        <w:t xml:space="preserve">Our website meets WCAG 2.0 accessibility standards</w:t>
      </w:r>
    </w:p>
    <w:p>
      <w:pPr>
        <w:spacing/>
        <w:rPr/>
      </w:pPr>
      <w:r>
        <w:rPr/>
        <w:t xml:space="preserve"> </w:t>
      </w:r>
    </w:p>
    <w:p>
      <w:pPr>
        <w:pStyle w:val="Heading2"/>
        <w:spacing/>
        <w:rPr/>
      </w:pPr>
      <w:bookmarkStart w:id="10" w:name="_Toc0000000006"/>
      <w:r>
        <w:rPr/>
        <w:t xml:space="preserve">Guide Dog and Service Animals</w:t>
      </w:r>
      <w:bookmarkEnd w:id="10"/>
    </w:p>
    <w:p>
      <w:pPr>
        <w:pStyle w:val="ListBullet"/>
        <w:numPr>
          <w:ilvl w:val="0"/>
          <w:numId w:val="35"/>
        </w:numPr>
        <w:spacing/>
        <w:rPr/>
      </w:pPr>
      <w:r>
        <w:rPr/>
        <w:t xml:space="preserve">The business provides a secure area with shade and water for service animals</w:t>
      </w:r>
    </w:p>
    <w:p>
      <w:pPr>
        <w:pStyle w:val="ListBullet"/>
        <w:numPr>
          <w:ilvl w:val="0"/>
          <w:numId w:val="35"/>
        </w:numPr>
        <w:spacing/>
        <w:rPr/>
      </w:pPr>
      <w:r>
        <w:rPr/>
        <w:t xml:space="preserve">Bowls, bedding, etc. are provided for service animals</w:t>
      </w:r>
    </w:p>
    <w:p>
      <w:pPr>
        <w:spacing/>
        <w:rPr/>
      </w:pPr>
      <w:r>
        <w:rPr/>
        <w:t xml:space="preserve">The business provides the following services for services animals: </w:t>
      </w:r>
    </w:p>
    <w:p>
      <w:pPr>
        <w:pBdr/>
        <w:spacing/>
        <w:rPr/>
      </w:pPr>
      <w:r>
        <w:rPr/>
        <w:t xml:space="preserve">Not specified</w:t>
      </w:r>
    </w:p>
    <w:p>
      <w:pPr>
        <w:pStyle w:val="Heading1"/>
        <w:spacing/>
        <w:rPr/>
      </w:pPr>
      <w:bookmarkStart w:id="11" w:name="_Toc0000000007"/>
      <w:r>
        <w:rPr/>
        <w:t xml:space="preserve">GENERAL</w:t>
      </w:r>
      <w:bookmarkEnd w:id="11"/>
    </w:p>
    <w:p>
      <w:pPr>
        <w:spacing/>
        <w:rPr/>
      </w:pPr>
      <w:r>
        <w:rPr/>
        <w:t xml:space="preserve"> </w:t>
      </w:r>
    </w:p>
    <w:p>
      <w:pPr>
        <w:pStyle w:val="Heading2"/>
        <w:spacing/>
        <w:rPr/>
      </w:pPr>
      <w:bookmarkStart w:id="12" w:name="_Toc0000000008"/>
      <w:r>
        <w:rPr/>
        <w:t xml:space="preserve">Pre-arrival, arrival and reception</w:t>
      </w:r>
      <w:bookmarkEnd w:id="12"/>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Booking information and websites are compatible with screen readers</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A familiarisation tour</w:t>
      </w:r>
    </w:p>
    <w:p>
      <w:pPr>
        <w:pStyle w:val="ListBullet"/>
        <w:numPr>
          <w:ilvl w:val="0"/>
          <w:numId w:val="35"/>
        </w:numPr>
        <w:spacing/>
        <w:rPr/>
      </w:pPr>
      <w:r>
        <w:rPr/>
        <w:t xml:space="preserve">Keys are available for each guest</w:t>
      </w:r>
    </w:p>
    <w:p>
      <w:pPr>
        <w:pStyle w:val="ListBullet"/>
        <w:numPr>
          <w:ilvl w:val="0"/>
          <w:numId w:val="35"/>
        </w:numPr>
        <w:spacing/>
        <w:rPr/>
      </w:pPr>
      <w:r>
        <w:rPr/>
        <w:t xml:space="preserve">Luggage assistance</w:t>
      </w:r>
    </w:p>
    <w:p>
      <w:pPr>
        <w:pStyle w:val="ListBullet"/>
        <w:numPr>
          <w:ilvl w:val="0"/>
          <w:numId w:val="35"/>
        </w:numPr>
        <w:spacing/>
        <w:rPr/>
      </w:pPr>
      <w:r>
        <w:rPr/>
        <w:t xml:space="preserve">In addition, the following further information can assist guests:</w:t>
      </w:r>
    </w:p>
    <w:p>
      <w:pPr>
        <w:spacing/>
        <w:rPr/>
      </w:pPr>
      <w:r>
        <w:rPr/>
        <w:t xml:space="preserve">We are a small business and do not have long wait times</w:t>
      </w:r>
    </w:p>
    <w:p>
      <w:pPr>
        <w:spacing/>
        <w:rPr/>
      </w:pPr>
      <w:r>
        <w:rPr/>
        <w:t xml:space="preserve"> </w:t>
      </w:r>
    </w:p>
    <w:p>
      <w:pPr>
        <w:pStyle w:val="Heading2"/>
        <w:spacing/>
        <w:rPr/>
      </w:pPr>
      <w:bookmarkStart w:id="13" w:name="_Toc0000000009"/>
      <w:r>
        <w:rPr/>
        <w:t xml:space="preserve">Cognitive Impairment Support</w:t>
      </w:r>
      <w:bookmarkEnd w:id="13"/>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pStyle w:val="ListBullet"/>
        <w:numPr>
          <w:ilvl w:val="0"/>
          <w:numId w:val="35"/>
        </w:numPr>
        <w:spacing/>
        <w:rPr/>
      </w:pPr>
      <w:r>
        <w:rPr/>
        <w:t xml:space="preserve">A space for parents and children on the Autism Spectrum</w:t>
      </w:r>
    </w:p>
    <w:p>
      <w:pPr>
        <w:spacing/>
        <w:rPr/>
      </w:pPr>
      <w:r>
        <w:rPr/>
        <w:t xml:space="preserve"> </w:t>
      </w:r>
    </w:p>
    <w:p>
      <w:pPr>
        <w:pStyle w:val="Heading2"/>
        <w:spacing/>
        <w:rPr/>
      </w:pPr>
      <w:bookmarkStart w:id="14" w:name="_Toc0000000010"/>
      <w:r>
        <w:rPr/>
        <w:t xml:space="preserve">Car Park and Access amenities</w:t>
      </w:r>
      <w:bookmarkEnd w:id="14"/>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spacing/>
        <w:rPr/>
      </w:pPr>
      <w:r>
        <w:rPr/>
        <w:t xml:space="preserve"> </w:t>
      </w:r>
    </w:p>
    <w:p>
      <w:pPr>
        <w:pStyle w:val="Heading2"/>
        <w:spacing/>
        <w:rPr/>
      </w:pPr>
      <w:bookmarkStart w:id="15" w:name="_Toc0000000011"/>
      <w:r>
        <w:rPr/>
        <w:t xml:space="preserve">Entry</w:t>
      </w:r>
      <w:bookmarkEnd w:id="15"/>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Signage is written in a contrasting colour</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entry door has self opening or a light opening pressure (for manual operations)</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6" w:name="_Toc0000000012"/>
      <w:r>
        <w:rPr/>
        <w:t xml:space="preserve">Internal Spaces</w:t>
      </w:r>
      <w:bookmarkEnd w:id="16"/>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Floors, walls, counters and furniture are of contrasting colours</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Floor surfaces are hard or short pile carpet</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pStyle w:val="ListBullet"/>
        <w:numPr>
          <w:ilvl w:val="0"/>
          <w:numId w:val="35"/>
        </w:numPr>
        <w:spacing/>
        <w:rPr/>
      </w:pPr>
      <w:r>
        <w:rPr/>
        <w:t xml:space="preserve">There is a quiet space for parents and children on the Autism Spectrum</w:t>
      </w:r>
    </w:p>
    <w:p>
      <w:pPr>
        <w:spacing/>
        <w:rPr/>
      </w:pPr>
      <w:r>
        <w:rPr/>
        <w:t xml:space="preserve"> </w:t>
      </w:r>
    </w:p>
    <w:p>
      <w:pPr>
        <w:pStyle w:val="Heading2"/>
        <w:spacing/>
        <w:rPr/>
      </w:pPr>
      <w:bookmarkStart w:id="17" w:name="_Toc0000000013"/>
      <w:r>
        <w:rPr/>
        <w:t xml:space="preserve">Public areas</w:t>
      </w:r>
      <w:bookmarkEnd w:id="17"/>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8" w:name="_Toc0000000014"/>
      <w:r>
        <w:rPr/>
        <w:t xml:space="preserve">Displays, exhibits, commentary and live performances</w:t>
      </w:r>
      <w:bookmarkEnd w:id="18"/>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9" w:name="_Toc0000000015"/>
      <w:r>
        <w:rPr/>
        <w:t xml:space="preserve">External Paths</w:t>
      </w:r>
      <w:bookmarkEnd w:id="19"/>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Pathways are wider than 900mm</w:t>
      </w:r>
    </w:p>
    <w:p>
      <w:pPr>
        <w:pStyle w:val="ListBullet"/>
        <w:numPr>
          <w:ilvl w:val="0"/>
          <w:numId w:val="35"/>
        </w:numPr>
        <w:spacing/>
        <w:rPr/>
      </w:pPr>
      <w:r>
        <w:rPr/>
        <w:t xml:space="preserve">There 3 successive steps or less on any path or at any doorway</w:t>
      </w:r>
    </w:p>
    <w:p>
      <w:pPr>
        <w:spacing/>
        <w:rPr/>
      </w:pPr>
      <w:r>
        <w:rPr/>
        <w:t xml:space="preserve"> </w:t>
      </w:r>
    </w:p>
    <w:p>
      <w:pPr>
        <w:pStyle w:val="Heading2"/>
        <w:spacing/>
        <w:rPr/>
      </w:pPr>
      <w:bookmarkStart w:id="20" w:name="_Toc0000000016"/>
      <w:r>
        <w:rPr/>
        <w:t xml:space="preserve">Steps</w:t>
      </w:r>
      <w:bookmarkEnd w:id="20"/>
    </w:p>
    <w:p>
      <w:pPr>
        <w:spacing/>
        <w:rPr/>
      </w:pPr>
      <w:r>
        <w:rPr/>
        <w:t xml:space="preserve">Steps</w:t>
      </w:r>
    </w:p>
    <w:p>
      <w:pPr>
        <w:pStyle w:val="ListBullet"/>
        <w:numPr>
          <w:ilvl w:val="0"/>
          <w:numId w:val="35"/>
        </w:numPr>
        <w:spacing/>
        <w:rPr/>
      </w:pPr>
      <w:r>
        <w:rPr/>
        <w:t xml:space="preserve">There are steps.</w:t>
      </w:r>
    </w:p>
    <w:p>
      <w:pPr>
        <w:pStyle w:val="ListBullet"/>
        <w:numPr>
          <w:ilvl w:val="0"/>
          <w:numId w:val="35"/>
        </w:numPr>
        <w:spacing/>
        <w:rPr/>
      </w:pPr>
      <w:r>
        <w:rPr/>
        <w:t xml:space="preserve">Top and bottom steps are easily distinguished through colour contrast or the use of TGSIs (Tactile Ground Surface Indicators)</w:t>
      </w:r>
    </w:p>
    <w:p>
      <w:pPr>
        <w:pStyle w:val="ListBullet"/>
        <w:numPr>
          <w:ilvl w:val="0"/>
          <w:numId w:val="35"/>
        </w:numPr>
        <w:spacing/>
        <w:rPr/>
      </w:pPr>
      <w:r>
        <w:rPr/>
        <w:t xml:space="preserve">All steps or staircases have enclosed risers</w:t>
      </w:r>
    </w:p>
    <w:p>
      <w:pPr>
        <w:pStyle w:val="ListBullet"/>
        <w:numPr>
          <w:ilvl w:val="0"/>
          <w:numId w:val="35"/>
        </w:numPr>
        <w:spacing/>
        <w:rPr/>
      </w:pPr>
      <w:r>
        <w:rPr/>
        <w:t xml:space="preserve">The underside of all staircases are enclosed or protected to a height of at least 2 metres</w:t>
      </w:r>
    </w:p>
    <w:p>
      <w:pPr>
        <w:pStyle w:val="ListBullet"/>
        <w:numPr>
          <w:ilvl w:val="0"/>
          <w:numId w:val="35"/>
        </w:numPr>
        <w:spacing/>
        <w:rPr/>
      </w:pPr>
      <w:r>
        <w:rPr/>
        <w:t xml:space="preserve">Handrails fitted to all open sets of steps</w:t>
      </w:r>
    </w:p>
    <w:p>
      <w:pPr>
        <w:pStyle w:val="ListBullet"/>
        <w:numPr>
          <w:ilvl w:val="0"/>
          <w:numId w:val="35"/>
        </w:numPr>
        <w:spacing/>
        <w:rPr/>
      </w:pPr>
      <w:r>
        <w:rPr/>
        <w:t xml:space="preserve">Handrails extend 300mm beyond the top and bottom step</w:t>
      </w:r>
    </w:p>
    <w:p>
      <w:pPr>
        <w:pStyle w:val="ListBullet"/>
        <w:numPr>
          <w:ilvl w:val="0"/>
          <w:numId w:val="35"/>
        </w:numPr>
        <w:spacing/>
        <w:rPr/>
      </w:pPr>
      <w:r>
        <w:rPr/>
        <w:t xml:space="preserve">Where steps are present are there three steps or less</w:t>
      </w:r>
    </w:p>
    <w:p>
      <w:pPr>
        <w:spacing/>
        <w:rPr/>
      </w:pPr>
      <w:r>
        <w:rPr/>
        <w:t xml:space="preserve"> </w:t>
      </w:r>
    </w:p>
    <w:p>
      <w:pPr>
        <w:pStyle w:val="Heading2"/>
        <w:spacing/>
        <w:rPr/>
      </w:pPr>
      <w:bookmarkStart w:id="21" w:name="_Toc0000000017"/>
      <w:r>
        <w:rPr/>
        <w:t xml:space="preserve">Ramps</w:t>
      </w:r>
      <w:bookmarkEnd w:id="21"/>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Hand rails are fitted</w:t>
      </w:r>
    </w:p>
    <w:p>
      <w:pPr>
        <w:pStyle w:val="ListBullet"/>
        <w:numPr>
          <w:ilvl w:val="0"/>
          <w:numId w:val="35"/>
        </w:numPr>
        <w:spacing/>
        <w:rPr/>
      </w:pPr>
      <w:r>
        <w:rPr/>
        <w:t xml:space="preserve">Temporary ramps are available</w:t>
      </w:r>
    </w:p>
    <w:p>
      <w:pPr>
        <w:pStyle w:val="ListBullet"/>
        <w:numPr>
          <w:ilvl w:val="0"/>
          <w:numId w:val="35"/>
        </w:numPr>
        <w:spacing/>
        <w:rPr/>
      </w:pPr>
      <w:r>
        <w:rPr/>
        <w:t xml:space="preserve">Temporary ramps are in place for the duration of the guests stay</w:t>
      </w:r>
    </w:p>
    <w:p>
      <w:pPr>
        <w:pStyle w:val="ListBullet"/>
        <w:numPr>
          <w:ilvl w:val="0"/>
          <w:numId w:val="35"/>
        </w:numPr>
        <w:spacing/>
        <w:rPr/>
      </w:pPr>
      <w:r>
        <w:rPr/>
        <w:t xml:space="preserve">Ramps have a raised edge of at least 100mm</w:t>
      </w:r>
    </w:p>
    <w:p>
      <w:pPr>
        <w:pStyle w:val="Heading1"/>
        <w:spacing/>
        <w:rPr/>
      </w:pPr>
      <w:bookmarkStart w:id="22" w:name="_Toc0000000018"/>
      <w:r>
        <w:rPr/>
        <w:t xml:space="preserve">ACCOMMODATION</w:t>
      </w:r>
      <w:bookmarkEnd w:id="22"/>
    </w:p>
    <w:p>
      <w:pPr>
        <w:spacing/>
        <w:rPr/>
      </w:pPr>
      <w:r>
        <w:rPr/>
        <w:t xml:space="preserve"> </w:t>
      </w:r>
    </w:p>
    <w:p>
      <w:pPr>
        <w:pStyle w:val="Heading2"/>
        <w:spacing/>
        <w:rPr/>
      </w:pPr>
      <w:bookmarkStart w:id="23" w:name="_Toc0000000019"/>
      <w:r>
        <w:rPr/>
        <w:t xml:space="preserve">Bedrooms</w:t>
      </w:r>
      <w:bookmarkEnd w:id="23"/>
    </w:p>
    <w:p>
      <w:pPr>
        <w:spacing/>
        <w:rPr/>
      </w:pPr>
      <w:r>
        <w:rPr/>
        <w:t xml:space="preserve">The bedrooms  have the following facilities/amenities in place</w:t>
      </w:r>
    </w:p>
    <w:p>
      <w:pPr>
        <w:pStyle w:val="ListBullet"/>
        <w:numPr>
          <w:ilvl w:val="0"/>
          <w:numId w:val="35"/>
        </w:numPr>
        <w:spacing/>
        <w:rPr/>
      </w:pPr>
      <w:r>
        <w:rPr/>
        <w:t xml:space="preserve">There are 2 rooms available to guests who use a wheelchair</w:t>
      </w:r>
    </w:p>
    <w:p>
      <w:pPr>
        <w:pStyle w:val="ListBullet"/>
        <w:numPr>
          <w:ilvl w:val="0"/>
          <w:numId w:val="35"/>
        </w:numPr>
        <w:spacing/>
        <w:rPr/>
      </w:pPr>
      <w:r>
        <w:rPr/>
        <w:t xml:space="preserve">Bedroom furniture can be re-arranged on request</w:t>
      </w:r>
    </w:p>
    <w:p>
      <w:pPr>
        <w:spacing/>
        <w:rPr/>
      </w:pPr>
      <w:r>
        <w:rPr/>
        <w:t xml:space="preserve"> </w:t>
      </w:r>
    </w:p>
    <w:p>
      <w:pPr>
        <w:pStyle w:val="Heading2"/>
        <w:spacing/>
        <w:rPr/>
      </w:pPr>
      <w:bookmarkStart w:id="24" w:name="_Toc0000000020"/>
      <w:r>
        <w:rPr/>
        <w:t xml:space="preserve">Room Amenities</w:t>
      </w:r>
      <w:bookmarkEnd w:id="24"/>
    </w:p>
    <w:p>
      <w:pPr>
        <w:pStyle w:val="ListBullet"/>
        <w:numPr>
          <w:ilvl w:val="0"/>
          <w:numId w:val="35"/>
        </w:numPr>
        <w:spacing/>
        <w:rPr/>
      </w:pPr>
      <w:r>
        <w:rPr/>
        <w:t xml:space="preserve">Lower hanging rails are in wardrobes</w:t>
      </w:r>
    </w:p>
    <w:p>
      <w:pPr>
        <w:pStyle w:val="ListBullet"/>
        <w:numPr>
          <w:ilvl w:val="0"/>
          <w:numId w:val="35"/>
        </w:numPr>
        <w:spacing/>
        <w:rPr/>
      </w:pPr>
      <w:r>
        <w:rPr/>
        <w:t xml:space="preserve">Visual alarm is fitted to the room</w:t>
      </w:r>
    </w:p>
    <w:p>
      <w:pPr>
        <w:pStyle w:val="ListBullet"/>
        <w:numPr>
          <w:ilvl w:val="0"/>
          <w:numId w:val="35"/>
        </w:numPr>
        <w:spacing/>
        <w:rPr/>
      </w:pPr>
      <w:r>
        <w:rPr/>
        <w:t xml:space="preserve">Televisions are equipped with closed captioning capability</w:t>
      </w:r>
    </w:p>
    <w:p>
      <w:pPr>
        <w:pStyle w:val="ListBullet"/>
        <w:numPr>
          <w:ilvl w:val="0"/>
          <w:numId w:val="35"/>
        </w:numPr>
        <w:spacing/>
        <w:rPr/>
      </w:pPr>
      <w:r>
        <w:rPr/>
        <w:t xml:space="preserve">Room phones have volume control</w:t>
      </w:r>
    </w:p>
    <w:p>
      <w:pPr>
        <w:pStyle w:val="ListBullet"/>
        <w:numPr>
          <w:ilvl w:val="0"/>
          <w:numId w:val="35"/>
        </w:numPr>
        <w:spacing/>
        <w:rPr/>
      </w:pPr>
      <w:r>
        <w:rPr/>
        <w:t xml:space="preserve">Room phones have a visual ringing indicator</w:t>
      </w:r>
    </w:p>
    <w:p>
      <w:pPr>
        <w:pStyle w:val="ListBullet"/>
        <w:numPr>
          <w:ilvl w:val="0"/>
          <w:numId w:val="35"/>
        </w:numPr>
        <w:spacing/>
        <w:rPr/>
      </w:pPr>
      <w:r>
        <w:rPr/>
        <w:t xml:space="preserve">There is contrast between the walls, skirtings, floor and furniture</w:t>
      </w:r>
    </w:p>
    <w:p>
      <w:pPr>
        <w:pStyle w:val="ListBullet"/>
        <w:numPr>
          <w:ilvl w:val="0"/>
          <w:numId w:val="35"/>
        </w:numPr>
        <w:spacing/>
        <w:rPr/>
      </w:pPr>
      <w:r>
        <w:rPr/>
        <w:t xml:space="preserve">There is a clear path through the room</w:t>
      </w:r>
    </w:p>
    <w:p>
      <w:pPr>
        <w:pStyle w:val="ListBullet"/>
        <w:numPr>
          <w:ilvl w:val="0"/>
          <w:numId w:val="35"/>
        </w:numPr>
        <w:spacing/>
        <w:rPr/>
      </w:pPr>
      <w:r>
        <w:rPr/>
        <w:t xml:space="preserve">Housekeeping procedures instruct staff not to reposition furniture that has been moved</w:t>
      </w:r>
    </w:p>
    <w:p>
      <w:pPr>
        <w:pStyle w:val="ListBullet"/>
        <w:numPr>
          <w:ilvl w:val="0"/>
          <w:numId w:val="35"/>
        </w:numPr>
        <w:spacing/>
        <w:rPr/>
      </w:pPr>
      <w:r>
        <w:rPr/>
        <w:t xml:space="preserve">There is a clear opening at least 850mm wide</w:t>
      </w:r>
    </w:p>
    <w:p>
      <w:pPr>
        <w:pStyle w:val="ListBullet"/>
        <w:numPr>
          <w:ilvl w:val="0"/>
          <w:numId w:val="35"/>
        </w:numPr>
        <w:spacing/>
        <w:rPr/>
      </w:pPr>
      <w:r>
        <w:rPr/>
        <w:t xml:space="preserve">There luggage racks for at least two suitcases</w:t>
      </w:r>
    </w:p>
    <w:p>
      <w:pPr>
        <w:pStyle w:val="ListBullet"/>
        <w:numPr>
          <w:ilvl w:val="0"/>
          <w:numId w:val="35"/>
        </w:numPr>
        <w:spacing/>
        <w:rPr/>
      </w:pPr>
      <w:r>
        <w:rPr/>
        <w:t xml:space="preserve">There at least one chair with rigid arms</w:t>
      </w:r>
    </w:p>
    <w:p>
      <w:pPr>
        <w:pStyle w:val="ListBullet"/>
        <w:numPr>
          <w:ilvl w:val="0"/>
          <w:numId w:val="35"/>
        </w:numPr>
        <w:spacing/>
        <w:rPr/>
      </w:pPr>
      <w:r>
        <w:rPr/>
        <w:t xml:space="preserve">Wardrobe and drawer handles are easy to grip</w:t>
      </w:r>
    </w:p>
    <w:p>
      <w:pPr>
        <w:pStyle w:val="ListBullet"/>
        <w:numPr>
          <w:ilvl w:val="0"/>
          <w:numId w:val="35"/>
        </w:numPr>
        <w:spacing/>
        <w:rPr/>
      </w:pPr>
      <w:r>
        <w:rPr/>
        <w:t xml:space="preserve">The bedside lamp switch is easy to reach from the bed</w:t>
      </w:r>
    </w:p>
    <w:p>
      <w:pPr>
        <w:pStyle w:val="ListBullet"/>
        <w:numPr>
          <w:ilvl w:val="0"/>
          <w:numId w:val="35"/>
        </w:numPr>
        <w:spacing/>
        <w:rPr/>
      </w:pPr>
      <w:r>
        <w:rPr/>
        <w:t xml:space="preserve">There is at least 850mm clear space beside the bed</w:t>
      </w:r>
    </w:p>
    <w:p>
      <w:pPr>
        <w:pStyle w:val="ListBullet"/>
        <w:numPr>
          <w:ilvl w:val="0"/>
          <w:numId w:val="35"/>
        </w:numPr>
        <w:spacing/>
        <w:rPr/>
      </w:pPr>
      <w:r>
        <w:rPr/>
        <w:t xml:space="preserve">Non-allergenic cleaning products are used</w:t>
      </w:r>
    </w:p>
    <w:p>
      <w:pPr>
        <w:spacing/>
        <w:rPr/>
      </w:pPr>
      <w:r>
        <w:rPr/>
        <w:t xml:space="preserve"> </w:t>
      </w:r>
    </w:p>
    <w:p>
      <w:pPr>
        <w:pStyle w:val="Heading2"/>
        <w:spacing/>
        <w:rPr/>
      </w:pPr>
      <w:bookmarkStart w:id="25" w:name="_Toc0000000021"/>
      <w:r>
        <w:rPr/>
        <w:t xml:space="preserve">Bathrooms</w:t>
      </w:r>
      <w:bookmarkEnd w:id="25"/>
    </w:p>
    <w:p>
      <w:pPr>
        <w:spacing/>
        <w:rPr/>
      </w:pPr>
      <w:r>
        <w:rPr/>
        <w:t xml:space="preserve">The bathrooms  have the following facilities/amenities in place</w:t>
      </w:r>
    </w:p>
    <w:p>
      <w:pPr>
        <w:pStyle w:val="ListBullet"/>
        <w:numPr>
          <w:ilvl w:val="0"/>
          <w:numId w:val="35"/>
        </w:numPr>
        <w:spacing/>
        <w:rPr/>
      </w:pPr>
      <w:r>
        <w:rPr/>
        <w:t xml:space="preserve">All heating appliances and hot water pipes are protected or insulated</w:t>
      </w:r>
    </w:p>
    <w:p>
      <w:pPr>
        <w:pStyle w:val="ListBullet"/>
        <w:numPr>
          <w:ilvl w:val="0"/>
          <w:numId w:val="35"/>
        </w:numPr>
        <w:spacing/>
        <w:rPr/>
      </w:pPr>
      <w:r>
        <w:rPr/>
        <w:t xml:space="preserve">All shower, bath and basin taps are clearly differentiated between hot and cold</w:t>
      </w:r>
    </w:p>
    <w:p>
      <w:pPr>
        <w:pStyle w:val="ListBullet"/>
        <w:numPr>
          <w:ilvl w:val="0"/>
          <w:numId w:val="35"/>
        </w:numPr>
        <w:spacing/>
        <w:rPr/>
      </w:pPr>
      <w:r>
        <w:rPr/>
        <w:t xml:space="preserve">Fixtures and fittings have rounded edges</w:t>
      </w:r>
    </w:p>
    <w:p>
      <w:pPr>
        <w:pStyle w:val="ListBullet"/>
        <w:numPr>
          <w:ilvl w:val="0"/>
          <w:numId w:val="35"/>
        </w:numPr>
        <w:spacing/>
        <w:rPr/>
      </w:pPr>
      <w:r>
        <w:rPr/>
        <w:t xml:space="preserve">The hot water is thermostatically controlled to 41 degrees</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There is a minimum of 1400mm of clear space in front of the toilet</w:t>
      </w:r>
    </w:p>
    <w:p>
      <w:pPr>
        <w:pStyle w:val="ListBullet"/>
        <w:numPr>
          <w:ilvl w:val="0"/>
          <w:numId w:val="35"/>
        </w:numPr>
        <w:spacing/>
        <w:rPr/>
      </w:pPr>
      <w:r>
        <w:rPr/>
        <w:t xml:space="preserve">The toilet seat is a contrasting colour to the floor</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There is a roll-in shower with fold down fixed seat or a shower chair</w:t>
      </w:r>
    </w:p>
    <w:p>
      <w:pPr>
        <w:pStyle w:val="ListBullet"/>
        <w:numPr>
          <w:ilvl w:val="0"/>
          <w:numId w:val="35"/>
        </w:numPr>
        <w:spacing/>
        <w:rPr/>
      </w:pPr>
      <w:r>
        <w:rPr/>
        <w:t xml:space="preserve">There is a portable shower head on flexible hose</w:t>
      </w:r>
    </w:p>
    <w:p>
      <w:pPr>
        <w:pStyle w:val="Heading1"/>
        <w:spacing/>
        <w:rPr/>
      </w:pPr>
      <w:bookmarkStart w:id="26" w:name="_Toc0000000022"/>
      <w:r>
        <w:rPr/>
        <w:t xml:space="preserve">COMMON AREAS</w:t>
      </w:r>
      <w:bookmarkEnd w:id="26"/>
    </w:p>
    <w:p>
      <w:pPr>
        <w:pStyle w:val="Heading1"/>
        <w:spacing/>
        <w:rPr/>
      </w:pPr>
      <w:bookmarkStart w:id="27" w:name="_Toc0000000023"/>
      <w:r>
        <w:rPr/>
        <w:t xml:space="preserve">FOOD AND DRINK</w:t>
      </w:r>
      <w:bookmarkEnd w:id="27"/>
    </w:p>
    <w:p>
      <w:pPr>
        <w:spacing/>
        <w:rPr/>
      </w:pPr>
      <w:r>
        <w:rPr/>
        <w:t xml:space="preserve"> </w:t>
      </w:r>
    </w:p>
    <w:p>
      <w:pPr>
        <w:pStyle w:val="Heading2"/>
        <w:spacing/>
        <w:rPr/>
      </w:pPr>
      <w:bookmarkStart w:id="28" w:name="_Toc0000000024"/>
      <w:r>
        <w:rPr/>
        <w:t xml:space="preserve">Dining Spaces</w:t>
      </w:r>
      <w:bookmarkEnd w:id="28"/>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All glass doors and full height windows have contrast markings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large print menus</w:t>
      </w:r>
    </w:p>
    <w:p>
      <w:pPr>
        <w:pStyle w:val="ListBullet"/>
        <w:numPr>
          <w:ilvl w:val="0"/>
          <w:numId w:val="35"/>
        </w:numPr>
        <w:spacing/>
        <w:rPr/>
      </w:pPr>
      <w:r>
        <w:rPr/>
        <w:t xml:space="preserve">There are Plain English menus</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Low fat and  fibre with no gastric content</w:t>
      </w:r>
    </w:p>
    <w:p>
      <w:pPr>
        <w:pStyle w:val="ListBullet"/>
        <w:numPr>
          <w:ilvl w:val="0"/>
          <w:numId w:val="35"/>
        </w:numPr>
        <w:spacing/>
        <w:rPr/>
      </w:pPr>
      <w:r>
        <w:rPr/>
        <w:t xml:space="preserve">Low potassium</w:t>
      </w:r>
    </w:p>
    <w:p>
      <w:pPr>
        <w:pStyle w:val="ListBullet"/>
        <w:numPr>
          <w:ilvl w:val="0"/>
          <w:numId w:val="35"/>
        </w:numPr>
        <w:spacing/>
        <w:rPr/>
      </w:pPr>
      <w:r>
        <w:rPr/>
        <w:t xml:space="preserve">Low sodium</w:t>
      </w:r>
    </w:p>
    <w:p>
      <w:pPr>
        <w:pStyle w:val="ListBullet"/>
        <w:numPr>
          <w:ilvl w:val="0"/>
          <w:numId w:val="35"/>
        </w:numPr>
        <w:spacing/>
        <w:rPr/>
      </w:pPr>
      <w:r>
        <w:rPr/>
        <w:t xml:space="preserve">Nut free</w:t>
      </w:r>
    </w:p>
    <w:p>
      <w:pPr>
        <w:pStyle w:val="ListBullet"/>
        <w:numPr>
          <w:ilvl w:val="0"/>
          <w:numId w:val="35"/>
        </w:numPr>
        <w:spacing/>
        <w:rPr/>
      </w:pPr>
      <w:r>
        <w:rPr/>
        <w:t xml:space="preserve">Additive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Kosher</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all staff have done their food and safety handling course</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www.geraldtonmotorinn.com.au</w:t>
      </w:r>
    </w:p>
    <w:p>
      <w:pPr>
        <w:pStyle w:val="Subtitle"/>
        <w:spacing/>
        <w:rPr/>
      </w:pPr>
      <w:r>
        <w:rPr/>
        <w:t xml:space="preserve">Food and Beverage Image(s)</w:t>
      </w:r>
    </w:p>
    <w:p>
      <w:pPr>
        <w:spacing/>
        <w:rPr/>
      </w:pPr>
      <w:r>
        <w:rPr/>
        <w:drawing>
          <wp:inline>
            <wp:extent cx="2540000" cy="19050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905000"/>
                    </a:xfrm>
                    <a:prstGeom prst="rect">
                      <a:avLst/>
                    </a:prstGeom>
                  </pic:spPr>
                </pic:pic>
              </a:graphicData>
            </a:graphic>
          </wp:inline>
        </w:drawing>
      </w:r>
    </w:p>
    <w:p>
      <w:pPr>
        <w:spacing/>
        <w:rPr/>
      </w:pPr>
      <w:r>
        <w:rPr/>
        <w:t xml:space="preserve">20240506_122509</w:t>
      </w:r>
    </w:p>
    <w:p>
      <w:pPr>
        <w:spacing/>
        <w:rPr/>
      </w:pPr>
      <w:r>
        <w:rPr/>
        <w:drawing>
          <wp:inline>
            <wp:extent cx="2540000" cy="1905000"/>
            <wp:docPr id="3" name="Picture 3"/>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4"/>
                    <a:srcRect/>
                    <a:stretch>
                      <a:fillRect/>
                    </a:stretch>
                  </pic:blipFill>
                  <pic:spPr bwMode="auto">
                    <a:xfrm>
                      <a:off x="0" y="0"/>
                      <a:ext cx="2540000" cy="1905000"/>
                    </a:xfrm>
                    <a:prstGeom prst="rect">
                      <a:avLst/>
                    </a:prstGeom>
                  </pic:spPr>
                </pic:pic>
              </a:graphicData>
            </a:graphic>
          </wp:inline>
        </w:drawing>
      </w:r>
    </w:p>
    <w:p>
      <w:pPr>
        <w:spacing/>
        <w:rPr/>
      </w:pPr>
      <w:r>
        <w:rPr/>
        <w:t xml:space="preserve">20240506_122439</w:t>
      </w:r>
    </w:p>
    <w:p>
      <w:pPr>
        <w:spacing/>
        <w:rPr/>
      </w:pPr>
      <w:r>
        <w:rPr/>
        <w:drawing>
          <wp:inline>
            <wp:extent cx="2540000" cy="1905000"/>
            <wp:docPr id="4" name="Picture 4"/>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5"/>
                    <a:srcRect/>
                    <a:stretch>
                      <a:fillRect/>
                    </a:stretch>
                  </pic:blipFill>
                  <pic:spPr bwMode="auto">
                    <a:xfrm>
                      <a:off x="0" y="0"/>
                      <a:ext cx="2540000" cy="1905000"/>
                    </a:xfrm>
                    <a:prstGeom prst="rect">
                      <a:avLst/>
                    </a:prstGeom>
                  </pic:spPr>
                </pic:pic>
              </a:graphicData>
            </a:graphic>
          </wp:inline>
        </w:drawing>
      </w:r>
    </w:p>
    <w:p>
      <w:pPr>
        <w:spacing/>
        <w:rPr/>
      </w:pPr>
      <w:r>
        <w:rPr/>
        <w:t xml:space="preserve">20240506_141514</w:t>
      </w:r>
    </w:p>
    <w:p>
      <w:pPr>
        <w:spacing/>
        <w:rPr/>
      </w:pPr>
      <w:r>
        <w:rPr/>
        <w:drawing>
          <wp:inline>
            <wp:extent cx="2540000" cy="1905000"/>
            <wp:docPr id="5" name="Picture 5"/>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6"/>
                    <a:srcRect/>
                    <a:stretch>
                      <a:fillRect/>
                    </a:stretch>
                  </pic:blipFill>
                  <pic:spPr bwMode="auto">
                    <a:xfrm>
                      <a:off x="0" y="0"/>
                      <a:ext cx="2540000" cy="1905000"/>
                    </a:xfrm>
                    <a:prstGeom prst="rect">
                      <a:avLst/>
                    </a:prstGeom>
                  </pic:spPr>
                </pic:pic>
              </a:graphicData>
            </a:graphic>
          </wp:inline>
        </w:drawing>
      </w:r>
    </w:p>
    <w:p>
      <w:pPr>
        <w:spacing/>
        <w:rPr/>
      </w:pPr>
      <w:r>
        <w:rPr/>
        <w:t xml:space="preserve">20240506_141522</w:t>
      </w:r>
    </w:p>
    <w:p>
      <w:pPr>
        <w:spacing/>
        <w:rPr/>
      </w:pPr>
      <w:r>
        <w:rPr/>
        <w:drawing>
          <wp:inline>
            <wp:extent cx="2540000" cy="1905000"/>
            <wp:docPr id="6" name="Picture 6"/>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a:srcRect/>
                    <a:stretch>
                      <a:fillRect/>
                    </a:stretch>
                  </pic:blipFill>
                  <pic:spPr bwMode="auto">
                    <a:xfrm>
                      <a:off x="0" y="0"/>
                      <a:ext cx="2540000" cy="1905000"/>
                    </a:xfrm>
                    <a:prstGeom prst="rect">
                      <a:avLst/>
                    </a:prstGeom>
                  </pic:spPr>
                </pic:pic>
              </a:graphicData>
            </a:graphic>
          </wp:inline>
        </w:drawing>
      </w:r>
    </w:p>
    <w:p>
      <w:pPr>
        <w:spacing/>
        <w:rPr/>
      </w:pPr>
      <w:r>
        <w:rPr/>
        <w:t xml:space="preserve">20240506_122421</w:t>
      </w:r>
    </w:p>
    <w:p>
      <w:pPr>
        <w:spacing/>
        <w:rPr/>
      </w:pPr>
      <w:r>
        <w:rPr/>
        <w:drawing>
          <wp:inline>
            <wp:extent cx="2540000" cy="1905000"/>
            <wp:docPr id="7" name="Picture 7"/>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8"/>
                    <a:srcRect/>
                    <a:stretch>
                      <a:fillRect/>
                    </a:stretch>
                  </pic:blipFill>
                  <pic:spPr bwMode="auto">
                    <a:xfrm>
                      <a:off x="0" y="0"/>
                      <a:ext cx="2540000" cy="1905000"/>
                    </a:xfrm>
                    <a:prstGeom prst="rect">
                      <a:avLst/>
                    </a:prstGeom>
                  </pic:spPr>
                </pic:pic>
              </a:graphicData>
            </a:graphic>
          </wp:inline>
        </w:drawing>
      </w:r>
    </w:p>
    <w:p>
      <w:pPr>
        <w:spacing/>
        <w:rPr/>
      </w:pPr>
      <w:r>
        <w:rPr/>
        <w:t xml:space="preserve">20240506_122355</w:t>
      </w:r>
    </w:p>
    <w:p>
      <w:pPr>
        <w:pStyle w:val="Heading1"/>
        <w:spacing/>
        <w:rPr/>
      </w:pPr>
      <w:bookmarkStart w:id="29" w:name="_Toc0000000025"/>
      <w:r>
        <w:rPr/>
        <w:t xml:space="preserve">EVENTS</w:t>
      </w:r>
      <w:bookmarkEnd w:id="29"/>
    </w:p>
    <w:p>
      <w:pPr>
        <w:spacing/>
        <w:rPr/>
      </w:pPr>
      <w:r>
        <w:rPr/>
        <w:t xml:space="preserve"> </w:t>
      </w:r>
    </w:p>
    <w:p>
      <w:pPr>
        <w:pStyle w:val="Heading2"/>
        <w:spacing/>
        <w:rPr/>
      </w:pPr>
      <w:bookmarkStart w:id="30" w:name="_Toc0000000026"/>
      <w:r>
        <w:rPr/>
        <w:t xml:space="preserve">Events</w:t>
      </w:r>
      <w:bookmarkEnd w:id="30"/>
    </w:p>
    <w:p>
      <w:pPr>
        <w:spacing/>
        <w:rPr/>
      </w:pPr>
      <w:r>
        <w:rPr/>
        <w:t xml:space="preserve">Events  have the following facilities/amenities in place</w:t>
      </w:r>
    </w:p>
    <w:p>
      <w:pPr>
        <w:pStyle w:val="ListBullet"/>
        <w:numPr>
          <w:ilvl w:val="0"/>
          <w:numId w:val="35"/>
        </w:numPr>
        <w:spacing/>
        <w:rPr/>
      </w:pPr>
      <w:r>
        <w:rPr/>
        <w:t xml:space="preserve">There is step free access throughout the venue</w:t>
      </w:r>
    </w:p>
    <w:p>
      <w:pPr>
        <w:pStyle w:val="ListBullet"/>
        <w:numPr>
          <w:ilvl w:val="0"/>
          <w:numId w:val="35"/>
        </w:numPr>
        <w:spacing/>
        <w:rPr/>
      </w:pPr>
      <w:r>
        <w:rPr/>
        <w:t xml:space="preserve">All ancillary areas are step free e.g. breakout rooms, dining areas, outside areas and exhibition spaces</w:t>
      </w:r>
    </w:p>
    <w:p>
      <w:pPr>
        <w:pStyle w:val="ListBullet"/>
        <w:numPr>
          <w:ilvl w:val="0"/>
          <w:numId w:val="35"/>
        </w:numPr>
        <w:spacing/>
        <w:rPr/>
      </w:pPr>
      <w:r>
        <w:rPr/>
        <w:t xml:space="preserve">All stage areas including speaker platforms are accessible</w:t>
      </w:r>
    </w:p>
    <w:p>
      <w:pPr>
        <w:pStyle w:val="ListBullet"/>
        <w:numPr>
          <w:ilvl w:val="0"/>
          <w:numId w:val="35"/>
        </w:numPr>
        <w:spacing/>
        <w:rPr/>
      </w:pPr>
      <w:r>
        <w:rPr/>
        <w:t xml:space="preserve">Wheelchair designated seating is provided</w:t>
      </w:r>
    </w:p>
    <w:p>
      <w:pPr>
        <w:pStyle w:val="ListBullet"/>
        <w:numPr>
          <w:ilvl w:val="0"/>
          <w:numId w:val="35"/>
        </w:numPr>
        <w:spacing/>
        <w:rPr/>
      </w:pPr>
      <w:r>
        <w:rPr/>
        <w:t xml:space="preserve">We cater for a range of seating and viewing options</w:t>
      </w:r>
    </w:p>
    <w:p>
      <w:pPr>
        <w:pStyle w:val="ListBullet"/>
        <w:numPr>
          <w:ilvl w:val="0"/>
          <w:numId w:val="35"/>
        </w:numPr>
        <w:spacing/>
        <w:rPr/>
      </w:pPr>
      <w:r>
        <w:rPr/>
        <w:t xml:space="preserve">We cater for varying group sizes</w:t>
      </w:r>
    </w:p>
    <w:p>
      <w:pPr>
        <w:pStyle w:val="ListBullet"/>
        <w:numPr>
          <w:ilvl w:val="0"/>
          <w:numId w:val="35"/>
        </w:numPr>
        <w:spacing/>
        <w:rPr/>
      </w:pPr>
      <w:r>
        <w:rPr/>
        <w:t xml:space="preserve">Our event can be booked from the main web site</w:t>
      </w:r>
    </w:p>
    <w:p>
      <w:pPr>
        <w:pStyle w:val="ListBullet"/>
        <w:numPr>
          <w:ilvl w:val="0"/>
          <w:numId w:val="35"/>
        </w:numPr>
        <w:spacing/>
        <w:rPr/>
      </w:pPr>
      <w:r>
        <w:rPr/>
        <w:t xml:space="preserve">There is  good circulation space with the number of people expected to allow people with a disability to move around freely</w:t>
      </w:r>
    </w:p>
    <w:p>
      <w:pPr>
        <w:pStyle w:val="ListBullet"/>
        <w:numPr>
          <w:ilvl w:val="0"/>
          <w:numId w:val="35"/>
        </w:numPr>
        <w:spacing/>
        <w:rPr/>
      </w:pPr>
      <w:r>
        <w:rPr/>
        <w:t xml:space="preserve">Food and water is available for guide and service animals</w:t>
      </w:r>
    </w:p>
    <w:p>
      <w:pPr>
        <w:pStyle w:val="ListBullet"/>
        <w:numPr>
          <w:ilvl w:val="0"/>
          <w:numId w:val="35"/>
        </w:numPr>
        <w:spacing/>
        <w:rPr/>
      </w:pPr>
      <w:r>
        <w:rPr/>
        <w:t xml:space="preserve">Accessible car parking is available</w:t>
      </w:r>
    </w:p>
    <w:p>
      <w:pPr>
        <w:pStyle w:val="ListBullet"/>
        <w:numPr>
          <w:ilvl w:val="0"/>
          <w:numId w:val="35"/>
        </w:numPr>
        <w:spacing/>
        <w:rPr/>
      </w:pPr>
      <w:r>
        <w:rPr/>
        <w:t xml:space="preserve">There are designated drop-off points</w:t>
      </w:r>
    </w:p>
    <w:p>
      <w:pPr>
        <w:pStyle w:val="ListBullet"/>
        <w:numPr>
          <w:ilvl w:val="0"/>
          <w:numId w:val="35"/>
        </w:numPr>
        <w:spacing/>
        <w:rPr/>
      </w:pPr>
      <w:r>
        <w:rPr/>
        <w:t xml:space="preserve">There is accessible public transport to the venue</w:t>
      </w:r>
    </w:p>
    <w:p>
      <w:pPr>
        <w:pStyle w:val="ListBullet"/>
        <w:numPr>
          <w:ilvl w:val="0"/>
          <w:numId w:val="35"/>
        </w:numPr>
        <w:spacing/>
        <w:rPr/>
        <w:sectPr>
          <w:type w:val="nextPage"/>
          <w:pgSz w:w="11906" w:h="16838"/>
          <w:pgMar w:top="1440" w:right="1440" w:bottom="1440" w:left="1440" w:header="708" w:footer="708" w:gutter="0"/>
          <w:pgBorders/>
          <w:pgNumType w:fmt="decimal"/>
          <w:cols w:num="1" w:equalWidth="1" w:space="708"/>
          <w:docGrid w:linePitch="360"/>
        </w:sectPr>
      </w:pPr>
      <w:r>
        <w:rPr/>
        <w:t xml:space="preserve">Quiet rooms, marquees or spaces are available</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1" w:name="_Toc0000000027"/>
      <w:r>
        <w:rPr/>
        <w:t xml:space="preserve">Report Disclaimer</w:t>
      </w:r>
      <w:bookmarkEnd w:id="31"/>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7F2E54F7"/>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9" Type="http://schemas.openxmlformats.org/officeDocument/2006/relationships/styles" Target="styles.xml" /><Relationship Id="rId10" Type="http://schemas.openxmlformats.org/officeDocument/2006/relationships/settings" Target="settings.xml" /><Relationship Id="rId11" Type="http://schemas.openxmlformats.org/officeDocument/2006/relationships/theme" Target="theme/theme1.xml" /><Relationship Id="rId12" Type="http://schemas.openxmlformats.org/officeDocument/2006/relationships/numbering" Target="numbering.xml" /><Relationship Id="rId1" Type="http://schemas.openxmlformats.org/officeDocument/2006/relationships/footer" Target="footer1.xml" /><Relationship Id="rId13" Type="http://schemas.openxmlformats.org/officeDocument/2006/relationships/fontTable" Target="fontTable.xml" /><Relationship Id="rId2" Type="http://schemas.openxmlformats.org/officeDocument/2006/relationships/image" Target="media/image1.jpeg" /><Relationship Id="rId3" Type="http://schemas.openxmlformats.org/officeDocument/2006/relationships/image" Target="media/image2.jpeg" /><Relationship Id="rId4" Type="http://schemas.openxmlformats.org/officeDocument/2006/relationships/image" Target="media/image3.jpeg" /><Relationship Id="rId5" Type="http://schemas.openxmlformats.org/officeDocument/2006/relationships/image" Target="media/image4.jpeg" /><Relationship Id="rId6" Type="http://schemas.openxmlformats.org/officeDocument/2006/relationships/image" Target="media/image5.jpeg" /><Relationship Id="rId7" Type="http://schemas.openxmlformats.org/officeDocument/2006/relationships/image" Target="media/image6.jpeg" /><Relationship Id="rId8" Type="http://schemas.openxmlformats.org/officeDocument/2006/relationships/image" Target="media/image7.jpeg"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customXml" Target="../customXml/item3.xml" /><Relationship Id="rId17"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