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Kangaroo Ridge Retreat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38 Turners Lane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Healesville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Rebecca Ritte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0431558247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info@kangarooridge.com.au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www.kangarooridge.com.au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2026-10-10 09:41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Steps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_Toc0000000015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_Toc0000000016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_Toc0000000017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3208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3208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It is the main entry way into the cabins. The driveway is checked daily for tree falls. </w:t>
      </w:r>
    </w:p>
    <w:p>
      <w:pPr>
        <w:pStyle w:val="ListBullet"/>
        <w:numPr>
          <w:ilvl w:val="0"/>
          <w:numId w:val="35"/>
        </w:numPr>
        <w:spacing/>
        <w:rPr/>
      </w:pPr>
      <w:r>
        <w:rPr/>
        <w:t xml:space="preserve">In addition, the following further information can assist guests:</w:t>
      </w:r>
    </w:p>
    <w:p>
      <w:pPr>
        <w:spacing/>
        <w:rPr/>
      </w:pPr>
      <w:r>
        <w:rPr/>
        <w:t xml:space="preserve">We have an engaged onboarding process and provide as much possible information prior to booking through our accessibilty guide and easy to contact infomation</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https://www.kangarooridge.com.au/accessibility/</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p>
    <w:p>
      <w:pPr>
        <w:pBdr/>
        <w:spacing/>
        <w:rPr/>
      </w:pPr>
      <w:r>
        <w:rPr/>
        <w:t xml:space="preserve">We have a regional guide for each guest made specifically for their mobile device. </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Service animals are welcome. </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Contactless check in means they are able to arrive and check in immediately.</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Quiet periods or early opening times for people on the Autism Spectrum</w:t>
      </w:r>
    </w:p>
    <w:p>
      <w:pPr>
        <w:spacing/>
        <w:rPr/>
      </w:pPr>
      <w:r>
        <w:rPr/>
        <w:t xml:space="preserve"> </w:t>
      </w:r>
    </w:p>
    <w:p>
      <w:pPr>
        <w:pStyle w:val="Heading2"/>
        <w:spacing/>
        <w:rPr/>
      </w:pPr>
      <w:bookmarkStart w:id="14" w:name="_Toc0000000010"/>
      <w:r>
        <w:rPr/>
        <w:t xml:space="preserve">External Paths</w:t>
      </w:r>
      <w:bookmarkEnd w:id="14"/>
    </w:p>
    <w:p>
      <w:pPr>
        <w:spacing/>
        <w:rPr/>
      </w:pPr>
      <w:r>
        <w:rPr/>
        <w:t xml:space="preserve">External paths of travel</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15" w:name="_Toc0000000011"/>
      <w:r>
        <w:rPr/>
        <w:t xml:space="preserve">Steps</w:t>
      </w:r>
      <w:bookmarkEnd w:id="15"/>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Where steps are present are there three steps or less</w:t>
      </w:r>
    </w:p>
    <w:p>
      <w:pPr>
        <w:pStyle w:val="Heading1"/>
        <w:spacing/>
        <w:rPr/>
      </w:pPr>
      <w:bookmarkStart w:id="16" w:name="_Toc0000000012"/>
      <w:r>
        <w:rPr/>
        <w:t xml:space="preserve">ACCOMMODATION</w:t>
      </w:r>
      <w:bookmarkEnd w:id="16"/>
    </w:p>
    <w:p>
      <w:pPr>
        <w:spacing/>
        <w:rPr/>
      </w:pPr>
      <w:r>
        <w:rPr/>
        <w:t xml:space="preserve"> </w:t>
      </w:r>
    </w:p>
    <w:p>
      <w:pPr>
        <w:pStyle w:val="Heading2"/>
        <w:spacing/>
        <w:rPr/>
      </w:pPr>
      <w:bookmarkStart w:id="17" w:name="_Toc0000000013"/>
      <w:r>
        <w:rPr/>
        <w:t xml:space="preserve">Room Amenities</w:t>
      </w:r>
      <w:bookmarkEnd w:id="17"/>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Openings are a minimum of NA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Blocks are available to put under the bed legs</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18" w:name="_Toc0000000014"/>
      <w:r>
        <w:rPr/>
        <w:t xml:space="preserve">Bathrooms</w:t>
      </w:r>
      <w:bookmarkEnd w:id="18"/>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width of the door is The bathroom doorway is an issue as identified in our accessibilty guide. .</w:t>
      </w:r>
    </w:p>
    <w:p>
      <w:pPr>
        <w:pStyle w:val="ListBullet"/>
        <w:numPr>
          <w:ilvl w:val="0"/>
          <w:numId w:val="35"/>
        </w:numPr>
        <w:spacing/>
        <w:rPr/>
      </w:pPr>
      <w:r>
        <w:rPr/>
        <w:t xml:space="preserve">The width beside the toilet is NA.</w:t>
      </w:r>
    </w:p>
    <w:p>
      <w:pPr>
        <w:pStyle w:val="ListBullet"/>
        <w:numPr>
          <w:ilvl w:val="0"/>
          <w:numId w:val="35"/>
        </w:numPr>
        <w:spacing/>
        <w:rPr/>
      </w:pPr>
      <w:r>
        <w:rPr/>
        <w:t xml:space="preserve">There is 560mm to the door.  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Subtitle"/>
        <w:spacing/>
        <w:rPr/>
      </w:pPr>
      <w:r>
        <w:rPr/>
        <w:t xml:space="preserve">Bathroom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IMG_7114.JPG</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IMG_7109.JPG</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IMG_7112.JPG</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IMG_7110.JPG</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IMG_7113.JPG</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IMG_7111.JPG</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IMG_7107.JPG</w:t>
      </w:r>
    </w:p>
    <w:p>
      <w:pPr>
        <w:spacing/>
        <w:rPr/>
      </w:pPr>
      <w:r>
        <w:rPr/>
        <w:drawing>
          <wp:inline>
            <wp:extent cx="2540000" cy="1905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905000"/>
                    </a:xfrm>
                    <a:prstGeom prst="rect">
                      <a:avLst/>
                    </a:prstGeom>
                  </pic:spPr>
                </pic:pic>
              </a:graphicData>
            </a:graphic>
          </wp:inline>
        </w:drawing>
      </w:r>
    </w:p>
    <w:p>
      <w:pPr>
        <w:spacing/>
        <w:rPr/>
      </w:pPr>
      <w:r>
        <w:rPr/>
        <w:t xml:space="preserve">IMG_7117.JPG</w:t>
      </w:r>
    </w:p>
    <w:p>
      <w:pPr>
        <w:pStyle w:val="ListBullet"/>
        <w:numPr>
          <w:ilvl w:val="0"/>
          <w:numId w:val="35"/>
        </w:numPr>
        <w:spacing/>
        <w:rPr/>
      </w:pPr>
      <w:r>
        <w:rPr/>
        <w:t xml:space="preserve">In addition, the following further information can assist guests:</w:t>
      </w:r>
    </w:p>
    <w:p>
      <w:pPr>
        <w:spacing/>
        <w:rPr/>
      </w:pPr>
      <w:r>
        <w:rPr/>
        <w:t xml:space="preserve">Please refer to our accessibility guide.</w:t>
      </w:r>
    </w:p>
    <w:p>
      <w:pPr>
        <w:pStyle w:val="Heading1"/>
        <w:spacing/>
        <w:rPr/>
      </w:pPr>
      <w:bookmarkStart w:id="19" w:name="_Toc0000000015"/>
      <w:r>
        <w:rPr/>
        <w:t xml:space="preserve">COMMON AREAS</w:t>
      </w:r>
      <w:bookmarkEnd w:id="19"/>
    </w:p>
    <w:p>
      <w:pPr>
        <w:pStyle w:val="Heading1"/>
        <w:spacing/>
        <w:rPr/>
      </w:pPr>
      <w:bookmarkStart w:id="20" w:name="_Toc0000000016"/>
      <w:r>
        <w:rPr/>
        <w:t xml:space="preserve">FOOD AND DRINK</w:t>
      </w:r>
      <w:bookmarkEnd w:id="20"/>
    </w:p>
    <w:p>
      <w:pPr>
        <w:spacing/>
        <w:rPr/>
      </w:pPr>
      <w:r>
        <w:rPr/>
        <w:t xml:space="preserve"> </w:t>
      </w:r>
    </w:p>
    <w:p>
      <w:pPr>
        <w:pStyle w:val="Heading2"/>
        <w:spacing/>
        <w:rPr/>
      </w:pPr>
      <w:bookmarkStart w:id="21" w:name="_Toc0000000017"/>
      <w:r>
        <w:rPr/>
        <w:t xml:space="preserve">Dining Spaces</w:t>
      </w:r>
      <w:bookmarkEnd w:id="21"/>
    </w:p>
    <w:p>
      <w:pPr>
        <w:spacing/>
        <w:rPr/>
      </w:pPr>
      <w:r>
        <w:rPr/>
        <w:t xml:space="preserve">The dining spaces  have the following facilities/amenities in place</w:t>
      </w:r>
    </w:p>
    <w:p>
      <w:pPr>
        <w:pStyle w:val="ListBullet"/>
        <w:numPr>
          <w:ilvl w:val="0"/>
          <w:numId w:val="35"/>
        </w:numPr>
        <w:spacing/>
        <w:rPr/>
      </w:pPr>
      <w:r>
        <w:rPr/>
        <w:t xml:space="preserve">The smallest doorway is 890mm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provide dinner packs, these are put together according to dietary requirments and are sealed as per the suppliers packaging.</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A8A7EBF"/>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1" Type="http://schemas.openxmlformats.org/officeDocument/2006/relationships/styles" Target="styles.xml" /><Relationship Id="rId12" Type="http://schemas.openxmlformats.org/officeDocument/2006/relationships/settings" Target="settings.xml" /><Relationship Id="rId13" Type="http://schemas.openxmlformats.org/officeDocument/2006/relationships/theme" Target="theme/theme1.xml" /><Relationship Id="rId14" Type="http://schemas.openxmlformats.org/officeDocument/2006/relationships/numbering" Target="numbering.xml" /><Relationship Id="rId1" Type="http://schemas.openxmlformats.org/officeDocument/2006/relationships/footer" Target="footer1.xml" /><Relationship Id="rId15"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