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Lumina Suites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105 Batman St, West Melbourne Vic 3003, Australia</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West Melbourne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David Thomas</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0388423009</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reservations@luminasuites.com.au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luminasuites.com.au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2026-06-18 05:57</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Lifts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_Toc0000000015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_Toc0000000016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_Toc0000000017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_Toc0000000019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_Toc0000000020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_Toc0000000021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Swimming pools, spas and waterparks</w:t>
          </w:r>
          <w:r>
            <w:rPr/>
            <w:tab/>
            <w:t xml:space="preserve"/>
          </w:r>
          <w:r>
            <w:rPr/>
            <w:fldChar w:fldCharType="begin"/>
          </w:r>
          <w:r>
            <w:rPr/>
            <w:instrText xml:space="preserve">PAGEREF _Toc0000000022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_Toc0000000023 \h</w:instrText>
          </w:r>
          <w:r>
            <w:rPr/>
            <w:fldChar w:fldCharType="separate"/>
          </w:r>
          <w:r>
            <w:rPr/>
            <w:t xml:space="preserve">13</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1162050" cy="116205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1162050" cy="116205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There are Audible device/s to alert occupants to evacuate with instructions on how to evacuate.</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Continous floor checks by the building concierge, cleaners and building management. Any obstruction to paths of egress are removed immediately.</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including stairwells, have bright edges used on the steps.</w:t>
      </w:r>
    </w:p>
    <w:p>
      <w:pPr>
        <w:pStyle w:val="ListBullet"/>
        <w:numPr>
          <w:ilvl w:val="0"/>
          <w:numId w:val="35"/>
        </w:numPr>
        <w:spacing/>
        <w:rPr/>
      </w:pPr>
      <w:r>
        <w:rPr/>
        <w:t xml:space="preserve">The evacuation point is clearly marked by a sign</w:t>
      </w:r>
    </w:p>
    <w:p>
      <w:pPr>
        <w:spacing/>
        <w:rPr/>
      </w:pPr>
      <w:r>
        <w:rPr/>
        <w:t xml:space="preserve">The business identifies guests who need additional assistance should an emergency occur by: </w:t>
      </w:r>
    </w:p>
    <w:p>
      <w:pPr>
        <w:pBdr/>
        <w:spacing/>
        <w:rPr/>
      </w:pPr>
      <w:r>
        <w:rPr/>
        <w:t xml:space="preserve">By leveraging the system requirements and data sharing between the building team and reception staff.</w:t>
      </w:r>
    </w:p>
    <w:p>
      <w:pPr>
        <w:spacing/>
        <w:rPr/>
      </w:pPr>
      <w:r>
        <w:rPr/>
        <w:t xml:space="preserve">The procedure for assisting guests who need assisted rescue is: </w:t>
      </w:r>
    </w:p>
    <w:p>
      <w:pPr>
        <w:pBdr/>
        <w:spacing/>
        <w:rPr/>
      </w:pPr>
      <w:r>
        <w:rPr/>
        <w:t xml:space="preserve">Records kept of all apartments requiring assistance. These are then provided to the emergeny services attending. The guest is contacted prior to the arrival of emergency services to ensure they know assistance is on the way.</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spacing/>
        <w:rPr/>
      </w:pPr>
      <w:r>
        <w:rPr/>
        <w:t xml:space="preserve">The business provides the following services for services animals: </w:t>
      </w:r>
    </w:p>
    <w:p>
      <w:pPr>
        <w:pBdr/>
        <w:spacing/>
        <w:rPr/>
      </w:pPr>
      <w:r>
        <w:rPr/>
        <w:t xml:space="preserve">Not specified</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Pre check-in options and plenty of relaxed seating areas for waiting.&amp;nbsp;</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An intercom system is available at the entrance of car park</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7" w:name="_Toc0000000013"/>
      <w:r>
        <w:rPr/>
        <w:t xml:space="preserve">Lifts</w:t>
      </w:r>
      <w:bookmarkEnd w:id="17"/>
    </w:p>
    <w:p>
      <w:pPr>
        <w:pStyle w:val="ListBullet"/>
        <w:numPr>
          <w:ilvl w:val="0"/>
          <w:numId w:val="35"/>
        </w:numPr>
        <w:spacing/>
        <w:rPr/>
      </w:pPr>
      <w:r>
        <w:rPr/>
        <w:t xml:space="preserve">Premises has lifts</w:t>
      </w:r>
    </w:p>
    <w:p>
      <w:pPr>
        <w:pStyle w:val="ListBullet"/>
        <w:numPr>
          <w:ilvl w:val="0"/>
          <w:numId w:val="35"/>
        </w:numPr>
        <w:spacing/>
        <w:rPr/>
      </w:pPr>
      <w:r>
        <w:rPr/>
        <w:t xml:space="preserve">Lift location: B1 Lobby (6x Lifts with same specs). Has visual floor indicator</w:t>
      </w:r>
    </w:p>
    <w:p>
      <w:pPr>
        <w:spacing/>
        <w:rPr/>
      </w:pPr>
      <w:r>
        <w:rPr/>
        <w:t xml:space="preserve"> </w:t>
      </w:r>
    </w:p>
    <w:p>
      <w:pPr>
        <w:pStyle w:val="Heading2"/>
        <w:spacing/>
        <w:rPr/>
      </w:pPr>
      <w:bookmarkStart w:id="18" w:name="_Toc0000000014"/>
      <w:r>
        <w:rPr/>
        <w:t xml:space="preserve">Internal Spaces</w:t>
      </w:r>
      <w:bookmarkEnd w:id="18"/>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All corridors greater than 900mm</w:t>
      </w:r>
    </w:p>
    <w:p>
      <w:pPr>
        <w:spacing/>
        <w:rPr/>
      </w:pPr>
      <w:r>
        <w:rPr/>
        <w:t xml:space="preserve"> </w:t>
      </w:r>
    </w:p>
    <w:p>
      <w:pPr>
        <w:pStyle w:val="Heading2"/>
        <w:spacing/>
        <w:rPr/>
      </w:pPr>
      <w:bookmarkStart w:id="19" w:name="_Toc0000000015"/>
      <w:r>
        <w:rPr/>
        <w:t xml:space="preserve">Public areas</w:t>
      </w:r>
      <w:bookmarkEnd w:id="19"/>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spacing/>
        <w:rPr/>
      </w:pPr>
      <w:r>
        <w:rPr/>
        <w:t xml:space="preserve"> </w:t>
      </w:r>
    </w:p>
    <w:p>
      <w:pPr>
        <w:pStyle w:val="Heading2"/>
        <w:spacing/>
        <w:rPr/>
      </w:pPr>
      <w:bookmarkStart w:id="21" w:name="_Toc0000000017"/>
      <w:r>
        <w:rPr/>
        <w:t xml:space="preserve">Public Toilets/Adult change facilities</w:t>
      </w:r>
      <w:bookmarkEnd w:id="21"/>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22" w:name="_Toc0000000018"/>
      <w:r>
        <w:rPr/>
        <w:t xml:space="preserve">ACCOMMODATION</w:t>
      </w:r>
      <w:bookmarkEnd w:id="22"/>
    </w:p>
    <w:p>
      <w:pPr>
        <w:spacing/>
        <w:rPr/>
      </w:pPr>
      <w:r>
        <w:rPr/>
        <w:t xml:space="preserve"> </w:t>
      </w:r>
    </w:p>
    <w:p>
      <w:pPr>
        <w:pStyle w:val="Heading2"/>
        <w:spacing/>
        <w:rPr/>
      </w:pPr>
      <w:bookmarkStart w:id="23" w:name="_Toc0000000019"/>
      <w:r>
        <w:rPr/>
        <w:t xml:space="preserve">Room Amenities</w:t>
      </w:r>
      <w:bookmarkEnd w:id="23"/>
    </w:p>
    <w:p>
      <w:pPr>
        <w:pStyle w:val="ListBullet"/>
        <w:numPr>
          <w:ilvl w:val="0"/>
          <w:numId w:val="35"/>
        </w:numPr>
        <w:spacing/>
        <w:rPr/>
      </w:pPr>
      <w:r>
        <w:rPr/>
        <w:t xml:space="preserve">In addition, the following further information can assist guests:</w:t>
      </w:r>
    </w:p>
    <w:p>
      <w:pPr>
        <w:spacing/>
        <w:rPr/>
      </w:pPr>
      <w:r>
        <w:rPr/>
        <w:t xml:space="preserve">N/A</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 business offers a range of non-allergenic bedding</w:t>
      </w:r>
    </w:p>
    <w:p>
      <w:pPr>
        <w:pStyle w:val="ListBullet"/>
        <w:numPr>
          <w:ilvl w:val="0"/>
          <w:numId w:val="35"/>
        </w:numPr>
        <w:spacing/>
        <w:rPr/>
      </w:pPr>
      <w:r>
        <w:rPr/>
        <w:t xml:space="preserve">Non-allergenic cleaning products are used</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24" w:name="_Toc0000000020"/>
      <w:r>
        <w:rPr/>
        <w:t xml:space="preserve">Bathrooms</w:t>
      </w:r>
      <w:bookmarkEnd w:id="24"/>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 width beside the toilet is Varies by layout, anywhere from 5cm to 20cm..</w:t>
      </w:r>
    </w:p>
    <w:p>
      <w:pPr>
        <w:pStyle w:val="ListBullet"/>
        <w:numPr>
          <w:ilvl w:val="0"/>
          <w:numId w:val="35"/>
        </w:numPr>
        <w:spacing/>
        <w:rPr/>
      </w:pPr>
      <w:r>
        <w:rPr/>
        <w:t xml:space="preserve">There is 700mm 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door is fitted to the shower</w:t>
      </w:r>
    </w:p>
    <w:p>
      <w:pPr>
        <w:pStyle w:val="ListBullet"/>
        <w:numPr>
          <w:ilvl w:val="0"/>
          <w:numId w:val="35"/>
        </w:numPr>
        <w:spacing/>
        <w:rPr/>
      </w:pPr>
      <w:r>
        <w:rPr/>
        <w:t xml:space="preserve">A door is fitted to the showers with an outward swing at minimum width of 900 mm</w:t>
      </w:r>
    </w:p>
    <w:p>
      <w:pPr>
        <w:pStyle w:val="Subtitle"/>
        <w:spacing/>
        <w:rPr/>
      </w:pPr>
      <w:r>
        <w:rPr/>
        <w:t xml:space="preserve">Bathroom Image(s)</w:t>
      </w:r>
    </w:p>
    <w:p>
      <w:pPr>
        <w:spacing/>
        <w:rPr/>
      </w:pPr>
      <w:r>
        <w:rPr/>
        <w:drawing>
          <wp:inline>
            <wp:extent cx="2540000" cy="16891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689100"/>
                    </a:xfrm>
                    <a:prstGeom prst="rect">
                      <a:avLst/>
                    </a:prstGeom>
                  </pic:spPr>
                </pic:pic>
              </a:graphicData>
            </a:graphic>
          </wp:inline>
        </w:drawing>
      </w:r>
    </w:p>
    <w:p>
      <w:pPr>
        <w:spacing/>
        <w:rPr/>
      </w:pPr>
      <w:r>
        <w:rPr/>
        <w:t xml:space="preserve">10 copy</w:t>
      </w:r>
    </w:p>
    <w:p>
      <w:pPr>
        <w:pStyle w:val="Heading1"/>
        <w:spacing/>
        <w:rPr/>
      </w:pPr>
      <w:bookmarkStart w:id="25" w:name="_Toc0000000021"/>
      <w:r>
        <w:rPr/>
        <w:t xml:space="preserve">COMMON AREAS</w:t>
      </w:r>
      <w:bookmarkEnd w:id="25"/>
    </w:p>
    <w:p>
      <w:pPr>
        <w:spacing/>
        <w:rPr/>
      </w:pPr>
      <w:r>
        <w:rPr/>
        <w:t xml:space="preserve"> </w:t>
      </w:r>
    </w:p>
    <w:p>
      <w:pPr>
        <w:pStyle w:val="Heading2"/>
        <w:spacing/>
        <w:rPr/>
      </w:pPr>
      <w:bookmarkStart w:id="26" w:name="_Toc0000000022"/>
      <w:r>
        <w:rPr/>
        <w:t xml:space="preserve">Swimming pools, spas and waterparks</w:t>
      </w:r>
      <w:bookmarkEnd w:id="26"/>
    </w:p>
    <w:p>
      <w:pPr>
        <w:pStyle w:val="ListBullet"/>
        <w:numPr>
          <w:ilvl w:val="0"/>
          <w:numId w:val="35"/>
        </w:numPr>
        <w:spacing/>
        <w:rPr/>
      </w:pPr>
      <w:r>
        <w:rPr/>
        <w:t xml:space="preserve">The following swimming pools, spas and waterparks amenities are available</w:t>
      </w:r>
    </w:p>
    <w:p>
      <w:pPr>
        <w:pStyle w:val="ListBullet"/>
        <w:numPr>
          <w:ilvl w:val="0"/>
          <w:numId w:val="35"/>
        </w:numPr>
        <w:spacing/>
        <w:rPr/>
        <w:sectPr>
          <w:type w:val="nextPage"/>
          <w:pgSz w:w="11906" w:h="16838"/>
          <w:pgMar w:top="1440" w:right="1440" w:bottom="1440" w:left="1440" w:header="708" w:footer="708" w:gutter="0"/>
          <w:pgBorders/>
          <w:pgNumType w:fmt="decimal"/>
          <w:cols w:num="1" w:equalWidth="1" w:space="708"/>
          <w:docGrid w:linePitch="360"/>
        </w:sectPr>
      </w:pPr>
      <w:r>
        <w:rPr/>
        <w:t xml:space="preserve">Unisex change facilities with an accessible toilet</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7" w:name="_Toc0000000023"/>
      <w:r>
        <w:rPr/>
        <w:t xml:space="preserve">Report Disclaimer</w:t>
      </w:r>
      <w:bookmarkEnd w:id="27"/>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2FCB8DF8"/>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4" Type="http://schemas.openxmlformats.org/officeDocument/2006/relationships/styles" Target="styles.xml" /><Relationship Id="rId5" Type="http://schemas.openxmlformats.org/officeDocument/2006/relationships/settings" Target="settings.xml" /><Relationship Id="rId6" Type="http://schemas.openxmlformats.org/officeDocument/2006/relationships/theme" Target="theme/theme1.xml" /><Relationship Id="rId7" Type="http://schemas.openxmlformats.org/officeDocument/2006/relationships/numbering" Target="numbering.xml" /><Relationship Id="rId1" Type="http://schemas.openxmlformats.org/officeDocument/2006/relationships/footer" Target="footer1.xml" /><Relationship Id="rId8"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9" Type="http://schemas.openxmlformats.org/officeDocument/2006/relationships/customXml" Target="../customXml/item1.xml" /><Relationship Id="rId10" Type="http://schemas.openxmlformats.org/officeDocument/2006/relationships/customXml" Target="../customXml/item2.xml" /><Relationship Id="rId11" Type="http://schemas.openxmlformats.org/officeDocument/2006/relationships/customXml" Target="../customXml/item3.xml" /><Relationship Id="rId12"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