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Dimboola Imaginarium</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7-9 Lochiel Street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Dimboola</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Chan Uoy</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0425705591</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chan@dimboolaimaginarium.com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https://dimboolaimaginarium.com/</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2026-10-17 11:35</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Entry</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_Toc0000000014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Steps</w:t>
          </w:r>
          <w:r>
            <w:rPr/>
            <w:tab/>
            <w:t xml:space="preserve"/>
          </w:r>
          <w:r>
            <w:rPr/>
            <w:fldChar w:fldCharType="begin"/>
          </w:r>
          <w:r>
            <w:rPr/>
            <w:instrText xml:space="preserve">PAGEREF _Toc0000000015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_Toc0000000018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_Toc0000000019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_Toc0000000020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_Toc0000000021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_Toc0000000022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_Toc0000000023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_Toc0000000024 \h</w:instrText>
          </w:r>
          <w:r>
            <w:rPr/>
            <w:fldChar w:fldCharType="separate"/>
          </w:r>
          <w:r>
            <w:rPr/>
            <w:t xml:space="preserve">14</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pStyle w:val="ListBullet"/>
        <w:numPr>
          <w:ilvl w:val="0"/>
          <w:numId w:val="35"/>
        </w:numPr>
        <w:spacing/>
        <w:rPr/>
      </w:pPr>
      <w:r>
        <w:rPr/>
        <w:t xml:space="preserve">Attraction</w:t>
      </w:r>
    </w:p>
    <w:p>
      <w:pPr>
        <w:pStyle w:val="ListBullet"/>
        <w:numPr>
          <w:ilvl w:val="0"/>
          <w:numId w:val="35"/>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Food allergies or intolerances</w:t>
      </w:r>
    </w:p>
    <w:p>
      <w:pPr>
        <w:spacing/>
        <w:rPr/>
      </w:pPr>
      <w:r>
        <w:rPr/>
        <w:drawing>
          <wp:inline>
            <wp:extent cx="1943100" cy="2540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1943100" cy="2540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It is a checked everyday the the exit access is clear at all times.</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The evacuation point is clearly marked by a sign</w:t>
      </w:r>
    </w:p>
    <w:p>
      <w:pPr>
        <w:pStyle w:val="ListBullet"/>
        <w:numPr>
          <w:ilvl w:val="0"/>
          <w:numId w:val="35"/>
        </w:numPr>
        <w:spacing/>
        <w:rPr/>
      </w:pPr>
      <w:r>
        <w:rPr/>
        <w:t xml:space="preserve">In addition, the following further information can assist guests:</w:t>
      </w:r>
    </w:p>
    <w:p>
      <w:pPr>
        <w:spacing/>
        <w:rPr/>
      </w:pPr>
      <w:r>
        <w:rPr/>
        <w:t xml:space="preserve">We take note of them when they arrive.</w:t>
      </w:r>
    </w:p>
    <w:p>
      <w:pPr>
        <w:pStyle w:val="ListBullet"/>
        <w:numPr>
          <w:ilvl w:val="0"/>
          <w:numId w:val="35"/>
        </w:numPr>
        <w:spacing/>
        <w:rPr/>
      </w:pPr>
      <w:r>
        <w:rPr/>
        <w:t xml:space="preserve">In addition, the following further information can assist guests:</w:t>
      </w:r>
    </w:p>
    <w:p>
      <w:pPr>
        <w:spacing/>
        <w:rPr/>
      </w:pPr>
      <w:r>
        <w:rPr/>
        <w:t xml:space="preserve">We attend to them first.</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Guide Dog and Service Animals</w:t>
      </w:r>
      <w:bookmarkEnd w:id="10"/>
    </w:p>
    <w:p>
      <w:pPr>
        <w:pStyle w:val="ListBullet"/>
        <w:numPr>
          <w:ilvl w:val="0"/>
          <w:numId w:val="35"/>
        </w:numPr>
        <w:spacing/>
        <w:rPr/>
      </w:pPr>
      <w:r>
        <w:rPr/>
        <w:t xml:space="preserve">The business provides a secure area with shade and water for service animals</w:t>
      </w:r>
    </w:p>
    <w:p>
      <w:pPr>
        <w:spacing/>
        <w:rPr/>
      </w:pPr>
      <w:r>
        <w:rPr/>
        <w:t xml:space="preserve">The business provides the following services for services animals: </w:t>
      </w:r>
    </w:p>
    <w:p>
      <w:pPr>
        <w:pBdr/>
        <w:spacing/>
        <w:rPr/>
      </w:pPr>
      <w:r>
        <w:rPr/>
        <w:t xml:space="preserve">If we have a special request, we will offer bowls, bedding and a toilet area for the service animal.</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A familiarisation tour</w:t>
      </w:r>
    </w:p>
    <w:p>
      <w:pPr>
        <w:pStyle w:val="ListBullet"/>
        <w:numPr>
          <w:ilvl w:val="0"/>
          <w:numId w:val="35"/>
        </w:numPr>
        <w:spacing/>
        <w:rPr/>
      </w:pPr>
      <w:r>
        <w:rPr/>
        <w:t xml:space="preserve">Keys are available for each guest</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There are no long wait times, as we only take one exclusive booking at a time. The service is personalised and private.</w:t>
      </w:r>
    </w:p>
    <w:p>
      <w:pPr>
        <w:pStyle w:val="ListBullet"/>
        <w:numPr>
          <w:ilvl w:val="0"/>
          <w:numId w:val="35"/>
        </w:numPr>
        <w:spacing/>
        <w:rPr/>
      </w:pPr>
      <w:r>
        <w:rPr/>
        <w:t xml:space="preserve">In addition, the following further information can assist guests:</w:t>
      </w:r>
    </w:p>
    <w:p>
      <w:pPr>
        <w:spacing/>
        <w:rPr/>
      </w:pPr>
      <w:r>
        <w:rPr/>
        <w:t xml:space="preserve">We only take one accommodation booking at a time, so we do not mix strangers. You pay for the rooms you require.</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Quiet periods or early opening times for people on the Autism Spectrum</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Kerb ramps are in place where a pavement or walkway needs to be crossed</w:t>
      </w:r>
    </w:p>
    <w:p>
      <w:pPr>
        <w:pStyle w:val="ListBullet"/>
        <w:numPr>
          <w:ilvl w:val="0"/>
          <w:numId w:val="35"/>
        </w:numPr>
        <w:spacing/>
        <w:rPr/>
      </w:pPr>
      <w:r>
        <w:rPr/>
        <w:t xml:space="preserve">In addition, the following further information can assist guests:</w:t>
      </w:r>
    </w:p>
    <w:p>
      <w:pPr>
        <w:spacing/>
        <w:rPr/>
      </w:pPr>
      <w:r>
        <w:rPr/>
        <w:t xml:space="preserve">We can assist with special requirements upon arrival.</w:t>
      </w:r>
    </w:p>
    <w:p>
      <w:pPr>
        <w:spacing/>
        <w:rPr/>
      </w:pPr>
      <w:r>
        <w:rPr/>
        <w:t xml:space="preserve"> </w:t>
      </w:r>
    </w:p>
    <w:p>
      <w:pPr>
        <w:pStyle w:val="Heading2"/>
        <w:spacing/>
        <w:rPr/>
      </w:pPr>
      <w:bookmarkStart w:id="15" w:name="_Toc0000000011"/>
      <w:r>
        <w:rPr/>
        <w:t xml:space="preserve">Entry</w:t>
      </w:r>
      <w:bookmarkEnd w:id="15"/>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Tableware/glassware contrast with the table surface or table cloth</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There is a quiet space for parents and children on the Autism Spectrum</w:t>
      </w:r>
    </w:p>
    <w:p>
      <w:pPr>
        <w:spacing/>
        <w:rPr/>
      </w:pPr>
      <w:r>
        <w:rPr/>
        <w:t xml:space="preserve"> </w:t>
      </w:r>
    </w:p>
    <w:p>
      <w:pPr>
        <w:pStyle w:val="Heading2"/>
        <w:spacing/>
        <w:rPr/>
      </w:pPr>
      <w:bookmarkStart w:id="17" w:name="_Toc0000000013"/>
      <w:r>
        <w:rPr/>
        <w:t xml:space="preserve">Public areas</w:t>
      </w:r>
      <w:bookmarkEnd w:id="17"/>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18" w:name="_Toc0000000014"/>
      <w:r>
        <w:rPr/>
        <w:t xml:space="preserve">External Paths</w:t>
      </w:r>
      <w:bookmarkEnd w:id="18"/>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spacing/>
        <w:rPr/>
      </w:pPr>
      <w:r>
        <w:rPr/>
        <w:t xml:space="preserve"> </w:t>
      </w:r>
    </w:p>
    <w:p>
      <w:pPr>
        <w:pStyle w:val="Heading2"/>
        <w:spacing/>
        <w:rPr/>
      </w:pPr>
      <w:bookmarkStart w:id="19" w:name="_Toc0000000015"/>
      <w:r>
        <w:rPr/>
        <w:t xml:space="preserve">Steps</w:t>
      </w:r>
      <w:bookmarkEnd w:id="19"/>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Where steps are present are there three steps or less</w:t>
      </w:r>
    </w:p>
    <w:p>
      <w:pPr>
        <w:spacing/>
        <w:rPr/>
      </w:pPr>
      <w:r>
        <w:rPr/>
        <w:t xml:space="preserve"> </w:t>
      </w:r>
    </w:p>
    <w:p>
      <w:pPr>
        <w:pStyle w:val="Heading2"/>
        <w:spacing/>
        <w:rPr/>
      </w:pPr>
      <w:bookmarkStart w:id="20" w:name="_Toc0000000016"/>
      <w:r>
        <w:rPr/>
        <w:t xml:space="preserve">Public Toilets/Adult change facilities</w:t>
      </w:r>
      <w:bookmarkEnd w:id="20"/>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Heading1"/>
        <w:spacing/>
        <w:rPr/>
      </w:pPr>
      <w:bookmarkStart w:id="21" w:name="_Toc0000000017"/>
      <w:r>
        <w:rPr/>
        <w:t xml:space="preserve">ACCOMMODATION</w:t>
      </w:r>
      <w:bookmarkEnd w:id="21"/>
    </w:p>
    <w:p>
      <w:pPr>
        <w:spacing/>
        <w:rPr/>
      </w:pPr>
      <w:r>
        <w:rPr/>
        <w:t xml:space="preserve"> </w:t>
      </w:r>
    </w:p>
    <w:p>
      <w:pPr>
        <w:pStyle w:val="Heading2"/>
        <w:spacing/>
        <w:rPr/>
      </w:pPr>
      <w:bookmarkStart w:id="22" w:name="_Toc0000000018"/>
      <w:r>
        <w:rPr/>
        <w:t xml:space="preserve">Room Amenities</w:t>
      </w:r>
      <w:bookmarkEnd w:id="22"/>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Wardrobe handles are a contrasting colour to the doors and draws</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There at least one chair with rigid arms</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There is at least 130mm clearance under the bed</w:t>
      </w:r>
    </w:p>
    <w:p>
      <w:pPr>
        <w:pStyle w:val="ListBullet"/>
        <w:numPr>
          <w:ilvl w:val="0"/>
          <w:numId w:val="35"/>
        </w:numPr>
        <w:spacing/>
        <w:rPr/>
      </w:pPr>
      <w:r>
        <w:rPr/>
        <w:t xml:space="preserve">The business offers a range of non-allergenic bedding</w:t>
      </w:r>
    </w:p>
    <w:p>
      <w:pPr>
        <w:pStyle w:val="ListBullet"/>
        <w:numPr>
          <w:ilvl w:val="0"/>
          <w:numId w:val="35"/>
        </w:numPr>
        <w:spacing/>
        <w:rPr/>
      </w:pPr>
      <w:r>
        <w:rPr/>
        <w:t xml:space="preserve">Non-allergenic cleaning products are used</w:t>
      </w:r>
    </w:p>
    <w:p>
      <w:pPr>
        <w:spacing/>
        <w:rPr/>
      </w:pPr>
      <w:r>
        <w:rPr/>
        <w:t xml:space="preserve"> </w:t>
      </w:r>
    </w:p>
    <w:p>
      <w:pPr>
        <w:pStyle w:val="Heading2"/>
        <w:spacing/>
        <w:rPr/>
      </w:pPr>
      <w:bookmarkStart w:id="23" w:name="_Toc0000000019"/>
      <w:r>
        <w:rPr/>
        <w:t xml:space="preserve">Bathrooms</w:t>
      </w:r>
      <w:bookmarkEnd w:id="23"/>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A range of non-allergenic toiletries are available</w:t>
      </w:r>
    </w:p>
    <w:p>
      <w:pPr>
        <w:pStyle w:val="ListBullet"/>
        <w:numPr>
          <w:ilvl w:val="0"/>
          <w:numId w:val="35"/>
        </w:numPr>
        <w:spacing/>
        <w:rPr/>
      </w:pPr>
      <w:r>
        <w:rPr/>
        <w:t xml:space="preserve">There is a roll-in shower with fold down fixed seat or a shower chair</w:t>
      </w:r>
    </w:p>
    <w:p>
      <w:pPr>
        <w:pStyle w:val="ListBullet"/>
        <w:numPr>
          <w:ilvl w:val="0"/>
          <w:numId w:val="35"/>
        </w:numPr>
        <w:spacing/>
        <w:rPr/>
      </w:pPr>
      <w:r>
        <w:rPr/>
        <w:t xml:space="preserve">There is a portable shower head on flexible hose</w:t>
      </w:r>
    </w:p>
    <w:p>
      <w:pPr>
        <w:pStyle w:val="ListBullet"/>
        <w:numPr>
          <w:ilvl w:val="0"/>
          <w:numId w:val="35"/>
        </w:numPr>
        <w:spacing/>
        <w:rPr/>
      </w:pPr>
      <w:r>
        <w:rPr/>
        <w:t xml:space="preserve">A door is fitted to the shower</w:t>
      </w:r>
    </w:p>
    <w:p>
      <w:pPr>
        <w:pStyle w:val="ListBullet"/>
        <w:numPr>
          <w:ilvl w:val="0"/>
          <w:numId w:val="35"/>
        </w:numPr>
        <w:spacing/>
        <w:rPr/>
      </w:pPr>
      <w:r>
        <w:rPr/>
        <w:t xml:space="preserve">A door is fitted to the showers with an outward swing at minimum width of 900 mm</w:t>
      </w:r>
    </w:p>
    <w:p>
      <w:pPr>
        <w:pStyle w:val="Heading1"/>
        <w:spacing/>
        <w:rPr/>
      </w:pPr>
      <w:bookmarkStart w:id="24" w:name="_Toc0000000020"/>
      <w:r>
        <w:rPr/>
        <w:t xml:space="preserve">ATTRACTIONS</w:t>
      </w:r>
      <w:bookmarkEnd w:id="24"/>
    </w:p>
    <w:p>
      <w:pPr>
        <w:pStyle w:val="Subtitle"/>
        <w:spacing/>
        <w:rPr/>
      </w:pPr>
      <w:r>
        <w:rPr/>
        <w:t xml:space="preserve">Image(s)</w:t>
      </w:r>
    </w:p>
    <w:p>
      <w:pPr>
        <w:spacing/>
        <w:rPr/>
      </w:pPr>
      <w:r>
        <w:rPr/>
        <w:drawing>
          <wp:inline>
            <wp:extent cx="2540000" cy="1651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651000"/>
                    </a:xfrm>
                    <a:prstGeom prst="rect">
                      <a:avLst/>
                    </a:prstGeom>
                  </pic:spPr>
                </pic:pic>
              </a:graphicData>
            </a:graphic>
          </wp:inline>
        </w:drawing>
      </w:r>
    </w:p>
    <w:p>
      <w:pPr>
        <w:spacing/>
        <w:rPr/>
      </w:pPr>
      <w:r>
        <w:rPr/>
        <w:t xml:space="preserve">Imaginarium</w:t>
      </w:r>
    </w:p>
    <w:p>
      <w:pPr>
        <w:spacing/>
        <w:rPr/>
      </w:pPr>
      <w:r>
        <w:rPr/>
        <w:drawing>
          <wp:inline>
            <wp:extent cx="2540000" cy="1905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905000"/>
                    </a:xfrm>
                    <a:prstGeom prst="rect">
                      <a:avLst/>
                    </a:prstGeom>
                  </pic:spPr>
                </pic:pic>
              </a:graphicData>
            </a:graphic>
          </wp:inline>
        </w:drawing>
      </w:r>
    </w:p>
    <w:p>
      <w:pPr>
        <w:spacing/>
        <w:rPr/>
      </w:pPr>
      <w:r>
        <w:rPr/>
        <w:t xml:space="preserve">Imaginarium35</w:t>
      </w:r>
    </w:p>
    <w:p>
      <w:pPr>
        <w:pStyle w:val="Heading1"/>
        <w:spacing/>
        <w:rPr/>
      </w:pPr>
      <w:bookmarkStart w:id="25" w:name="_Toc0000000021"/>
      <w:r>
        <w:rPr/>
        <w:t xml:space="preserve">COMMON AREAS</w:t>
      </w:r>
      <w:bookmarkEnd w:id="25"/>
    </w:p>
    <w:p>
      <w:pPr>
        <w:pStyle w:val="Heading1"/>
        <w:spacing/>
        <w:rPr/>
      </w:pPr>
      <w:bookmarkStart w:id="26" w:name="_Toc0000000022"/>
      <w:r>
        <w:rPr/>
        <w:t xml:space="preserve">FOOD AND DRINK</w:t>
      </w:r>
      <w:bookmarkEnd w:id="26"/>
    </w:p>
    <w:p>
      <w:pPr>
        <w:spacing/>
        <w:rPr/>
      </w:pPr>
      <w:r>
        <w:rPr/>
        <w:t xml:space="preserve"> </w:t>
      </w:r>
    </w:p>
    <w:p>
      <w:pPr>
        <w:pStyle w:val="Heading2"/>
        <w:spacing/>
        <w:rPr/>
      </w:pPr>
      <w:bookmarkStart w:id="27" w:name="_Toc0000000023"/>
      <w:r>
        <w:rPr/>
        <w:t xml:space="preserve">Dining Spaces</w:t>
      </w:r>
      <w:bookmarkEnd w:id="27"/>
    </w:p>
    <w:p>
      <w:pPr>
        <w:spacing/>
        <w:rPr/>
      </w:pPr>
      <w:r>
        <w:rPr/>
        <w:t xml:space="preserve">The dining spaces  have the following facilities/amenities in place</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is an accessible toilet close by that is open during our business hours</w:t>
      </w:r>
    </w:p>
    <w:p>
      <w:pPr>
        <w:pStyle w:val="ListBullet"/>
        <w:numPr>
          <w:ilvl w:val="0"/>
          <w:numId w:val="35"/>
        </w:numPr>
        <w:spacing/>
        <w:rPr/>
      </w:pPr>
      <w:r>
        <w:rPr/>
        <w:t xml:space="preserve">In addition, the following further information can assist guests:</w:t>
      </w:r>
    </w:p>
    <w:p>
      <w:pPr>
        <w:spacing/>
        <w:rPr/>
      </w:pPr>
      <w:r>
        <w:rPr/>
        <w:t xml:space="preserve">Not applicable</w:t>
      </w:r>
    </w:p>
    <w:p>
      <w:pPr>
        <w:pStyle w:val="Subtitle"/>
        <w:spacing/>
        <w:rPr/>
      </w:pPr>
      <w:r>
        <w:rPr/>
        <w:t xml:space="preserve">Food and Beverage Image(s)</w:t>
      </w:r>
    </w:p>
    <w:p>
      <w:pPr>
        <w:spacing/>
        <w:rPr/>
      </w:pPr>
      <w:r>
        <w:rPr/>
        <w:drawing>
          <wp:inline>
            <wp:extent cx="1917700" cy="2540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1917700" cy="25400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Screenshot 2026-07-18 at 10.54.59 am</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8" w:name="_Toc0000000024"/>
      <w:r>
        <w:rPr/>
        <w:t xml:space="preserve">Report Disclaimer</w:t>
      </w:r>
      <w:bookmarkEnd w:id="28"/>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700A3857"/>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6" Type="http://schemas.openxmlformats.org/officeDocument/2006/relationships/styles" Target="styles.xml" /><Relationship Id="rId7" Type="http://schemas.openxmlformats.org/officeDocument/2006/relationships/settings" Target="settings.xml" /><Relationship Id="rId8" Type="http://schemas.openxmlformats.org/officeDocument/2006/relationships/theme" Target="theme/theme1.xml" /><Relationship Id="rId9" Type="http://schemas.openxmlformats.org/officeDocument/2006/relationships/numbering" Target="numbering.xml" /><Relationship Id="rId1" Type="http://schemas.openxmlformats.org/officeDocument/2006/relationships/footer" Target="footer1.xml" /><Relationship Id="rId10"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png"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 Id="rId14"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