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ibis Adelaide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122 Grenfell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Adelaide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Vrinda  Trehan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08 8159 5500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https://all.accor.com/hotel/8822/index.en.shtml?utm_campaign=seo+maps&amp;utm_medium=seo+maps&amp;utm_source=google+Maps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https://www.ibisadelaide.com.au/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2026-10-24 19:29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3622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3622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https://www.ibisadelaide.com.au/</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NA</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Subtitle"/>
        <w:spacing/>
        <w:rPr/>
      </w:pPr>
      <w:r>
        <w:rPr/>
        <w:t xml:space="preserve">Pictorial Menu Image(s)</w:t>
      </w:r>
    </w:p>
    <w:p>
      <w:pPr>
        <w:spacing/>
        <w:rPr/>
      </w:pPr>
      <w:r>
        <w:rPr/>
        <w:drawing>
          <wp:inline>
            <wp:extent cx="17907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790700" cy="2540000"/>
                    </a:xfrm>
                    <a:prstGeom prst="rect">
                      <a:avLst/>
                    </a:prstGeom>
                  </pic:spPr>
                </pic:pic>
              </a:graphicData>
            </a:graphic>
          </wp:inline>
        </w:drawing>
      </w:r>
    </w:p>
    <w:p>
      <w:pPr>
        <w:spacing/>
        <w:rPr/>
      </w:pPr>
      <w:r>
        <w:rPr/>
        <w:t xml:space="preserve">TV SCREEN Cocktail Image Happy Hour Flyer  Portrait</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Service animals may accommodate house guests if advices prior to arrival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Express checkin and large seated reception area</w:t>
      </w:r>
    </w:p>
    <w:p>
      <w:pPr>
        <w:pStyle w:val="ListBullet"/>
        <w:numPr>
          <w:ilvl w:val="0"/>
          <w:numId w:val="35"/>
        </w:numPr>
        <w:spacing/>
        <w:rPr/>
      </w:pPr>
      <w:r>
        <w:rPr/>
        <w:t xml:space="preserve">In addition, the following further information can assist guests:</w:t>
      </w:r>
    </w:p>
    <w:p>
      <w:pPr>
        <w:spacing/>
        <w:rPr/>
      </w:pPr>
      <w:r>
        <w:rPr/>
        <w:t xml:space="preserve">Express check in emails prior prior to checkin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Verbal communication and employee knowledge </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There are no obstructions at either main entrance to the ibis Adelaide</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A number of seating areas are provided in the lobby area of the hotel</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Steps do not have to be taken</w:t>
      </w:r>
    </w:p>
    <w:p>
      <w:pPr>
        <w:spacing/>
        <w:rPr/>
      </w:pPr>
    </w:p>
    <w:p>
      <w:pPr>
        <w:pBdr/>
        <w:spacing/>
        <w:rPr/>
      </w:pPr>
      <w:r>
        <w:rPr/>
        <w:t xml:space="preserve">All are accessible </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numPr>
          <w:ilvl w:val="0"/>
          <w:numId w:val="35"/>
        </w:numPr>
        <w:spacing/>
        <w:rPr/>
      </w:pPr>
      <w:r>
        <w:rPr/>
        <w:t xml:space="preserve">There are 13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ibis Adelaide Special Access Room</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Room phones are capable of sending and receiving an SMS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Accor approved products provided in all accommodation rooms</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ibis Adelaide Special Access Bathroom</w:t>
      </w:r>
    </w:p>
    <w:p>
      <w:pPr>
        <w:pStyle w:val="ListBullet"/>
        <w:numPr>
          <w:ilvl w:val="0"/>
          <w:numId w:val="35"/>
        </w:numPr>
        <w:spacing/>
        <w:rPr/>
      </w:pPr>
      <w:r>
        <w:rPr/>
        <w:t xml:space="preserve">In addition, the following further information can assist guests:</w:t>
      </w:r>
    </w:p>
    <w:p>
      <w:pPr>
        <w:spacing/>
        <w:rPr/>
      </w:pPr>
      <w:r>
        <w:rPr/>
        <w:t xml:space="preserve">Hotel has accessible rooms purpose build for wheelchair access</w:t>
      </w:r>
    </w:p>
    <w:p>
      <w:pPr>
        <w:pStyle w:val="Heading1"/>
        <w:spacing/>
        <w:rPr/>
      </w:pPr>
      <w:bookmarkStart w:id="27" w:name="_Toc0000000023"/>
      <w:r>
        <w:rPr/>
        <w:t xml:space="preserve">COMMON AREAS</w:t>
      </w:r>
      <w:bookmarkEnd w:id="27"/>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https://www.ibisadelaide.com.au/dining/ibis-kitchen-restaurant</w:t>
      </w:r>
    </w:p>
    <w:p>
      <w:pPr>
        <w:pStyle w:val="Subtitle"/>
        <w:spacing/>
        <w:rPr/>
      </w:pPr>
      <w:r>
        <w:rPr/>
        <w:t xml:space="preserve">Food and Beverage Image(s)</w:t>
      </w:r>
    </w:p>
    <w:p>
      <w:pPr>
        <w:spacing/>
        <w:rPr/>
      </w:pPr>
      <w:r>
        <w:rPr/>
        <w:drawing>
          <wp:inline>
            <wp:extent cx="1828800" cy="1524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828800" cy="1524000"/>
                    </a:xfrm>
                    <a:prstGeom prst="rect">
                      <a:avLst/>
                    </a:prstGeom>
                  </pic:spPr>
                </pic:pic>
              </a:graphicData>
            </a:graphic>
          </wp:inline>
        </w:drawing>
      </w:r>
    </w:p>
    <w:p>
      <w:pPr>
        <w:spacing/>
        <w:rPr/>
      </w:pPr>
      <w:r>
        <w:rPr/>
        <w:t xml:space="preserve">aperitif_Bar_3</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331040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