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Alice Springs Desert Park </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Larapinta Drive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Alice Springs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Hannah Smyth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0889518788</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asdp@nt.gov.au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www.alicespringsdesertpark.com.au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2026-10-17 20:28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Guides</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_Toc0000000021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Attractions Basics</w:t>
          </w:r>
          <w:r>
            <w:rPr/>
            <w:tab/>
            <w:t xml:space="preserve"/>
          </w:r>
          <w:r>
            <w:rPr/>
            <w:fldChar w:fldCharType="begin"/>
          </w:r>
          <w:r>
            <w:rPr/>
            <w:instrText xml:space="preserve">PAGEREF _Toc0000000022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Zoos and Wildlife Parks</w:t>
          </w:r>
          <w:r>
            <w:rPr/>
            <w:tab/>
            <w:t xml:space="preserve"/>
          </w:r>
          <w:r>
            <w:rPr/>
            <w:fldChar w:fldCharType="begin"/>
          </w:r>
          <w:r>
            <w:rPr/>
            <w:instrText xml:space="preserve">PAGEREF _Toc0000000023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_Toc0000000024 \h</w:instrText>
          </w:r>
          <w:r>
            <w:rPr/>
            <w:fldChar w:fldCharType="separate"/>
          </w:r>
          <w:r>
            <w:rPr/>
            <w:t xml:space="preserve">16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_Toc0000000025 \h</w:instrText>
          </w:r>
          <w:r>
            <w:rPr/>
            <w:fldChar w:fldCharType="separate"/>
          </w:r>
          <w:r>
            <w:rPr/>
            <w:t xml:space="preserve">18</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Attraction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drawing>
          <wp:inline>
            <wp:extent cx="1438656" cy="2161032"/>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438656" cy="2161032"/>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https://alicespringsdesertpark.com.au/plan-your-visit/accessibility</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Interactive Digital Map with audio tour options </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are Picture boards</w:t>
      </w:r>
    </w:p>
    <w:p>
      <w:pPr>
        <w:pStyle w:val="Subtitle"/>
        <w:spacing/>
        <w:rPr/>
      </w:pPr>
      <w:r>
        <w:rPr/>
        <w:t xml:space="preserve">Picture Boards Image(s)</w:t>
      </w:r>
    </w:p>
    <w:p>
      <w:pPr>
        <w:spacing/>
        <w:rPr/>
      </w:pPr>
      <w:r>
        <w:rPr/>
        <w:drawing>
          <wp:inline>
            <wp:extent cx="19050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05000" cy="2540000"/>
                    </a:xfrm>
                    <a:prstGeom prst="rect">
                      <a:avLst/>
                    </a:prstGeom>
                  </pic:spPr>
                </pic:pic>
              </a:graphicData>
            </a:graphic>
          </wp:inline>
        </w:drawing>
      </w:r>
    </w:p>
    <w:p>
      <w:pPr>
        <w:spacing/>
        <w:rPr/>
      </w:pPr>
      <w:r>
        <w:rPr/>
        <w:t xml:space="preserve">2</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Service animals may enter the park </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In addition, the following further information can assist guests:</w:t>
      </w:r>
    </w:p>
    <w:p>
      <w:pPr>
        <w:spacing/>
        <w:rPr/>
      </w:pPr>
      <w:r>
        <w:rPr/>
        <w:t xml:space="preserve">Alice Springs Desert Park aims to minimise wait times wherever possible to ensure all visitors have a comfortable experience. Tickets can be purchased online in advance, reducing time spent at the entry station, while visitor services staff are available to assist guests promptly on arrival. </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2" w:name="_Toc0000000018"/>
      <w:r>
        <w:rPr/>
        <w:t xml:space="preserve">TOUR OPERATORS</w:t>
      </w:r>
      <w:bookmarkEnd w:id="22"/>
    </w:p>
    <w:p>
      <w:pPr>
        <w:spacing/>
        <w:rPr/>
      </w:pPr>
      <w:r>
        <w:rPr/>
        <w:t xml:space="preserve"> </w:t>
      </w:r>
    </w:p>
    <w:p>
      <w:pPr>
        <w:pStyle w:val="Heading2"/>
        <w:spacing/>
        <w:rPr/>
      </w:pPr>
      <w:bookmarkStart w:id="23" w:name="_Toc0000000019"/>
      <w:r>
        <w:rPr/>
        <w:t xml:space="preserve">Route Planning</w:t>
      </w:r>
      <w:bookmarkEnd w:id="23"/>
    </w:p>
    <w:p>
      <w:pPr>
        <w:pStyle w:val="ListBullet"/>
        <w:numPr>
          <w:ilvl w:val="0"/>
          <w:numId w:val="35"/>
        </w:numPr>
        <w:spacing/>
        <w:rPr/>
      </w:pPr>
      <w:r>
        <w:rPr/>
        <w:t xml:space="preserve">Walking Tours</w:t>
      </w:r>
    </w:p>
    <w:p>
      <w:pPr>
        <w:pStyle w:val="ListBullet"/>
        <w:numPr>
          <w:ilvl w:val="0"/>
          <w:numId w:val="35"/>
        </w:numPr>
        <w:spacing/>
        <w:rPr/>
      </w:pPr>
      <w:r>
        <w:rPr/>
        <w:t xml:space="preserve">Operated on a step free route</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24" w:name="_Toc0000000020"/>
      <w:r>
        <w:rPr/>
        <w:t xml:space="preserve">Guides</w:t>
      </w:r>
      <w:bookmarkEnd w:id="24"/>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Heading1"/>
        <w:spacing/>
        <w:rPr/>
      </w:pPr>
      <w:bookmarkStart w:id="25" w:name="_Toc0000000021"/>
      <w:r>
        <w:rPr/>
        <w:t xml:space="preserve">ATTRACTIONS</w:t>
      </w:r>
      <w:bookmarkEnd w:id="25"/>
    </w:p>
    <w:p>
      <w:pPr>
        <w:spacing/>
        <w:rPr/>
      </w:pPr>
      <w:r>
        <w:rPr/>
        <w:t xml:space="preserve"> </w:t>
      </w:r>
    </w:p>
    <w:p>
      <w:pPr>
        <w:pStyle w:val="Heading2"/>
        <w:spacing/>
        <w:rPr/>
      </w:pPr>
      <w:bookmarkStart w:id="26" w:name="_Toc0000000022"/>
      <w:r>
        <w:rPr/>
        <w:t xml:space="preserve">Attractions Basics</w:t>
      </w:r>
      <w:bookmarkEnd w:id="26"/>
    </w:p>
    <w:p>
      <w:pPr>
        <w:pStyle w:val="ListBullet"/>
        <w:numPr>
          <w:ilvl w:val="0"/>
          <w:numId w:val="35"/>
        </w:numPr>
        <w:spacing/>
        <w:rPr/>
      </w:pPr>
      <w:r>
        <w:rPr/>
        <w:t xml:space="preserve">A park map is available here:</w:t>
      </w:r>
    </w:p>
    <w:p>
      <w:pPr>
        <w:spacing/>
        <w:rPr/>
      </w:pPr>
    </w:p>
    <w:p>
      <w:pPr>
        <w:pBdr/>
        <w:spacing/>
        <w:rPr/>
      </w:pPr>
      <w:r>
        <w:rPr/>
        <w:t xml:space="preserve">https://map.alicespringsdesertpark.com.au/</w:t>
      </w:r>
    </w:p>
    <w:p>
      <w:pPr>
        <w:spacing/>
        <w:rPr/>
      </w:pPr>
      <w:r>
        <w:rPr/>
        <w:t xml:space="preserve"> </w:t>
      </w:r>
    </w:p>
    <w:p>
      <w:pPr>
        <w:pStyle w:val="Heading2"/>
        <w:spacing/>
        <w:rPr/>
      </w:pPr>
      <w:bookmarkStart w:id="27" w:name="_Toc0000000023"/>
      <w:r>
        <w:rPr/>
        <w:t xml:space="preserve">Zoos and Wildlife Parks</w:t>
      </w:r>
      <w:bookmarkEnd w:id="27"/>
    </w:p>
    <w:p>
      <w:pPr>
        <w:pStyle w:val="ListBullet"/>
        <w:numPr>
          <w:ilvl w:val="0"/>
          <w:numId w:val="35"/>
        </w:numPr>
        <w:spacing/>
        <w:rPr/>
      </w:pPr>
      <w:r>
        <w:rPr/>
        <w:t xml:space="preserve">Guide and service dogs are welcome</w:t>
      </w:r>
    </w:p>
    <w:p>
      <w:pPr>
        <w:pStyle w:val="ListBullet"/>
        <w:numPr>
          <w:ilvl w:val="0"/>
          <w:numId w:val="35"/>
        </w:numPr>
        <w:spacing/>
        <w:rPr/>
      </w:pPr>
      <w:r>
        <w:rPr/>
        <w:t xml:space="preserve">In addition, the following further information can assist guests:</w:t>
      </w:r>
    </w:p>
    <w:p>
      <w:pPr>
        <w:spacing/>
        <w:rPr/>
      </w:pPr>
      <w:r>
        <w:rPr/>
        <w:t xml:space="preserve">Service animals are permitted on the main pathways of the park, but cannot enter our walk-through aviaries or enter our free-flying bird show.</w:t>
      </w:r>
    </w:p>
    <w:p>
      <w:pPr>
        <w:pStyle w:val="ListBullet"/>
        <w:numPr>
          <w:ilvl w:val="0"/>
          <w:numId w:val="35"/>
        </w:numPr>
        <w:spacing/>
        <w:rPr/>
      </w:pPr>
      <w:r>
        <w:rPr/>
        <w:t xml:space="preserve">A secure area with shade and water for service dogs is available</w:t>
      </w:r>
    </w:p>
    <w:p>
      <w:pPr>
        <w:pStyle w:val="ListBullet"/>
        <w:numPr>
          <w:ilvl w:val="0"/>
          <w:numId w:val="35"/>
        </w:numPr>
        <w:spacing/>
        <w:rPr/>
      </w:pPr>
      <w:r>
        <w:rPr/>
        <w:t xml:space="preserve">Displays have glass or mesh viewing panels for children or people seated in wheelchairs</w:t>
      </w:r>
    </w:p>
    <w:p>
      <w:pPr>
        <w:pStyle w:val="ListBullet"/>
        <w:numPr>
          <w:ilvl w:val="0"/>
          <w:numId w:val="35"/>
        </w:numPr>
        <w:spacing/>
        <w:rPr/>
      </w:pPr>
      <w:r>
        <w:rPr/>
        <w:t xml:space="preserve">Signage is positioned between 800mm and 1200mm above the ground</w:t>
      </w:r>
    </w:p>
    <w:p>
      <w:pPr>
        <w:pStyle w:val="ListBullet"/>
        <w:numPr>
          <w:ilvl w:val="0"/>
          <w:numId w:val="35"/>
        </w:numPr>
        <w:spacing/>
        <w:rPr/>
      </w:pPr>
      <w:r>
        <w:rPr/>
        <w:t xml:space="preserve">Signage is in a font larger than 18 point</w:t>
      </w:r>
    </w:p>
    <w:p>
      <w:pPr>
        <w:pStyle w:val="ListBullet"/>
        <w:numPr>
          <w:ilvl w:val="0"/>
          <w:numId w:val="35"/>
        </w:numPr>
        <w:spacing/>
        <w:rPr/>
      </w:pPr>
      <w:r>
        <w:rPr/>
        <w:t xml:space="preserve">Signage and information provide pictorial information</w:t>
      </w:r>
    </w:p>
    <w:p>
      <w:pPr>
        <w:pStyle w:val="ListBullet"/>
        <w:numPr>
          <w:ilvl w:val="0"/>
          <w:numId w:val="35"/>
        </w:numPr>
        <w:spacing/>
        <w:rPr/>
      </w:pPr>
      <w:r>
        <w:rPr/>
        <w:t xml:space="preserve">In addition, the following further information can assist guests:</w:t>
      </w:r>
    </w:p>
    <w:p>
      <w:pPr>
        <w:spacing/>
        <w:rPr/>
      </w:pPr>
      <w:r>
        <w:rPr/>
        <w:t xml:space="preserve">Audio tours are available, in addition to printed written information sheets and the interactive digital map via QR code.</w:t>
      </w:r>
    </w:p>
    <w:p>
      <w:pPr>
        <w:pStyle w:val="ListBullet"/>
        <w:numPr>
          <w:ilvl w:val="0"/>
          <w:numId w:val="35"/>
        </w:numPr>
        <w:spacing/>
        <w:rPr/>
      </w:pPr>
      <w:r>
        <w:rPr/>
        <w:t xml:space="preserve">Seating is provided at regular intervals</w:t>
      </w:r>
    </w:p>
    <w:p>
      <w:pPr>
        <w:pStyle w:val="ListBullet"/>
        <w:numPr>
          <w:ilvl w:val="0"/>
          <w:numId w:val="35"/>
        </w:numPr>
        <w:spacing/>
        <w:rPr/>
      </w:pPr>
      <w:r>
        <w:rPr/>
        <w:t xml:space="preserve">Aviaries and other enclosures provide level access</w:t>
      </w:r>
    </w:p>
    <w:p>
      <w:pPr>
        <w:pStyle w:val="ListBullet"/>
        <w:numPr>
          <w:ilvl w:val="0"/>
          <w:numId w:val="35"/>
        </w:numPr>
        <w:spacing/>
        <w:rPr/>
      </w:pPr>
      <w:r>
        <w:rPr/>
        <w:t xml:space="preserve">Airlocks provide sufficient room for a wheelchair</w:t>
      </w:r>
    </w:p>
    <w:p>
      <w:pPr>
        <w:pStyle w:val="Subtitle"/>
        <w:spacing/>
        <w:rPr/>
      </w:pPr>
      <w:r>
        <w:rPr/>
        <w:t xml:space="preserve">Image(s)</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Erin &amp; Scooter must credit TourismNT and Helen Orr</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interor tables and chairs</w:t>
      </w:r>
    </w:p>
    <w:p>
      <w:pPr>
        <w:spacing/>
        <w:rPr/>
      </w:pPr>
      <w:r>
        <w:rPr/>
        <w:drawing>
          <wp:inline>
            <wp:extent cx="17272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727200" cy="2540000"/>
                    </a:xfrm>
                    <a:prstGeom prst="rect">
                      <a:avLst/>
                    </a:prstGeom>
                  </pic:spPr>
                </pic:pic>
              </a:graphicData>
            </a:graphic>
          </wp:inline>
        </w:drawing>
      </w:r>
    </w:p>
    <w:p>
      <w:pPr>
        <w:spacing/>
        <w:rPr/>
      </w:pPr>
      <w:r>
        <w:rPr/>
        <w:t xml:space="preserve">arriving.JPG</w:t>
      </w:r>
    </w:p>
    <w:p>
      <w:pPr>
        <w:spacing/>
        <w:rPr/>
      </w:pPr>
      <w:r>
        <w:rPr/>
        <w:drawing>
          <wp:inline>
            <wp:extent cx="19050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905000" cy="2540000"/>
                    </a:xfrm>
                    <a:prstGeom prst="rect">
                      <a:avLst/>
                    </a:prstGeom>
                  </pic:spPr>
                </pic:pic>
              </a:graphicData>
            </a:graphic>
          </wp:inline>
        </w:drawing>
      </w:r>
    </w:p>
    <w:p>
      <w:pPr>
        <w:spacing/>
        <w:rPr/>
      </w:pPr>
      <w:r>
        <w:rPr/>
        <w:t xml:space="preserve">woodlands</w:t>
      </w:r>
    </w:p>
    <w:p>
      <w:pPr>
        <w:spacing/>
        <w:rPr/>
      </w:pPr>
      <w:r>
        <w:rPr/>
        <w:drawing>
          <wp:inline>
            <wp:extent cx="2540000" cy="16129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612900"/>
                    </a:xfrm>
                    <a:prstGeom prst="rect">
                      <a:avLst/>
                    </a:prstGeom>
                  </pic:spPr>
                </pic:pic>
              </a:graphicData>
            </a:graphic>
          </wp:inline>
        </w:drawing>
      </w:r>
    </w:p>
    <w:p>
      <w:pPr>
        <w:spacing/>
        <w:rPr/>
      </w:pPr>
      <w:r>
        <w:rPr/>
        <w:t xml:space="preserve">desert rivers arbor still.JPG</w:t>
      </w:r>
    </w:p>
    <w:p>
      <w:pPr>
        <w:spacing/>
        <w:rPr/>
      </w:pPr>
      <w:r>
        <w:rPr/>
        <w:drawing>
          <wp:inline>
            <wp:extent cx="2540000" cy="1905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905000"/>
                    </a:xfrm>
                    <a:prstGeom prst="rect">
                      <a:avLst/>
                    </a:prstGeom>
                  </pic:spPr>
                </pic:pic>
              </a:graphicData>
            </a:graphic>
          </wp:inline>
        </w:drawing>
      </w:r>
    </w:p>
    <w:p>
      <w:pPr>
        <w:spacing/>
        <w:rPr/>
      </w:pPr>
      <w:r>
        <w:rPr/>
        <w:t xml:space="preserve">Various park seating</w:t>
      </w:r>
    </w:p>
    <w:p>
      <w:pPr>
        <w:spacing/>
        <w:rPr/>
      </w:pPr>
      <w:r>
        <w:rPr/>
        <w:drawing>
          <wp:inline>
            <wp:extent cx="2540000" cy="1905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905000"/>
                    </a:xfrm>
                    <a:prstGeom prst="rect">
                      <a:avLst/>
                    </a:prstGeom>
                  </pic:spPr>
                </pic:pic>
              </a:graphicData>
            </a:graphic>
          </wp:inline>
        </w:drawing>
      </w:r>
    </w:p>
    <w:p>
      <w:pPr>
        <w:spacing/>
        <w:rPr/>
      </w:pPr>
      <w:r>
        <w:rPr/>
        <w:t xml:space="preserve">entry station</w:t>
      </w:r>
    </w:p>
    <w:p>
      <w:pPr>
        <w:spacing/>
        <w:rPr/>
      </w:pPr>
      <w:r>
        <w:rPr/>
        <w:drawing>
          <wp:inline>
            <wp:extent cx="1905000" cy="2540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1905000" cy="2540000"/>
                    </a:xfrm>
                    <a:prstGeom prst="rect">
                      <a:avLst/>
                    </a:prstGeom>
                  </pic:spPr>
                </pic:pic>
              </a:graphicData>
            </a:graphic>
          </wp:inline>
        </w:drawing>
      </w:r>
    </w:p>
    <w:p>
      <w:pPr>
        <w:spacing/>
        <w:rPr/>
      </w:pPr>
      <w:r>
        <w:rPr/>
        <w:t xml:space="preserve">entry</w:t>
      </w:r>
    </w:p>
    <w:p>
      <w:pPr>
        <w:spacing/>
        <w:rPr/>
      </w:pPr>
      <w:r>
        <w:rPr/>
        <w:drawing>
          <wp:inline>
            <wp:extent cx="1905000" cy="2540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1905000" cy="2540000"/>
                    </a:xfrm>
                    <a:prstGeom prst="rect">
                      <a:avLst/>
                    </a:prstGeom>
                  </pic:spPr>
                </pic:pic>
              </a:graphicData>
            </a:graphic>
          </wp:inline>
        </w:drawing>
      </w:r>
    </w:p>
    <w:p>
      <w:pPr>
        <w:spacing/>
        <w:rPr/>
      </w:pPr>
      <w:r>
        <w:rPr/>
        <w:t xml:space="preserve">gift shop</w:t>
      </w:r>
    </w:p>
    <w:p>
      <w:pPr>
        <w:spacing/>
        <w:rPr/>
      </w:pPr>
      <w:r>
        <w:rPr/>
        <w:drawing>
          <wp:inline>
            <wp:extent cx="1905000" cy="25400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1905000" cy="2540000"/>
                    </a:xfrm>
                    <a:prstGeom prst="rect">
                      <a:avLst/>
                    </a:prstGeom>
                  </pic:spPr>
                </pic:pic>
              </a:graphicData>
            </a:graphic>
          </wp:inline>
        </w:drawing>
      </w:r>
    </w:p>
    <w:p>
      <w:pPr>
        <w:spacing/>
        <w:rPr/>
      </w:pPr>
      <w:r>
        <w:rPr/>
        <w:t xml:space="preserve">disabled toilet</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8" w:name="_Toc0000000024"/>
      <w:r>
        <w:rPr/>
        <w:t xml:space="preserve">COMMON AREAS</w:t>
      </w:r>
      <w:bookmarkEnd w:id="28"/>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9" w:name="_Toc0000000025"/>
      <w:r>
        <w:rPr/>
        <w:t xml:space="preserve">Report Disclaimer</w:t>
      </w:r>
      <w:bookmarkEnd w:id="29"/>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E1CE8C8"/>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4" Type="http://schemas.openxmlformats.org/officeDocument/2006/relationships/styles" Target="styles.xml" /><Relationship Id="rId15" Type="http://schemas.openxmlformats.org/officeDocument/2006/relationships/settings" Target="settings.xml" /><Relationship Id="rId16" Type="http://schemas.openxmlformats.org/officeDocument/2006/relationships/theme" Target="theme/theme1.xml" /><Relationship Id="rId17" Type="http://schemas.openxmlformats.org/officeDocument/2006/relationships/numbering" Target="numbering.xml" /><Relationship Id="rId1" Type="http://schemas.openxmlformats.org/officeDocument/2006/relationships/footer" Target="footer1.xml" /><Relationship Id="rId18"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customXml" Target="../customXml/item3.xml" /><Relationship Id="rId2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