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King Parrot Cottages and Event Centre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195 Dunse Track</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Pennyroyal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Nicole Dodson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03 5236 3372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contact@kingparrot.com.au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https://kingparrot.com.au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2026-08-24 18:19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Ramps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Cognitive or people on the Autism Spectrum</w:t>
      </w:r>
    </w:p>
    <w:p>
      <w:pPr>
        <w:spacing/>
        <w:rPr/>
      </w:pPr>
      <w:r>
        <w:rPr/>
        <w:drawing>
          <wp:inline>
            <wp:extent cx="2540000" cy="939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939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The front entrance gate is always clear, so too is all driveways at King Parrot.  Exit doors from the cottage are always clear.  Mannagum has four external exit doors.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While we do not formally request guests to disclose accessibility needs, our emergency procedures are designed to ensure that all guests are supported. In the event of an emergency, King Parrot staff move systematically through every cottage and communal areas to confirm that all guests have evacuated safely.</w:t>
      </w:r>
    </w:p>
    <w:p>
      <w:pPr>
        <w:spacing/>
        <w:rPr/>
      </w:pPr>
      <w:r>
        <w:rPr/>
        <w:t xml:space="preserve">The procedure for assisting guests who need assisted rescue is: </w:t>
      </w:r>
    </w:p>
    <w:p>
      <w:pPr>
        <w:pBdr/>
        <w:spacing/>
        <w:rPr/>
      </w:pPr>
      <w:r>
        <w:rPr/>
        <w:t xml:space="preserve">If a guest requires assistance, staff are able to provide direct support, and we have a CFMoto buggy available to transport guests quickly and safely to the designated evacuation point. In many cases, guests with accessibility needs will also be travelling with family or companions who can provide additional support</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es, we offer communication via email, phone, or in person to suit guest preferences</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Service animals are permitted across all accommodation types, communal areas, and walking tracks.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King Parrot does have a reception, however we also offer guests self check in.  There are no forms to complete upon arrival. </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We have a keyless self check in option.</w:t>
      </w:r>
    </w:p>
    <w:p>
      <w:pPr>
        <w:pStyle w:val="ListBullet"/>
        <w:numPr>
          <w:ilvl w:val="0"/>
          <w:numId w:val="35"/>
        </w:numPr>
        <w:spacing/>
        <w:rPr/>
      </w:pPr>
      <w:r>
        <w:rPr/>
        <w:t xml:space="preserve">In addition, the following further information can assist guests:</w:t>
      </w:r>
    </w:p>
    <w:p>
      <w:pPr>
        <w:spacing/>
        <w:rPr/>
      </w:pPr>
      <w:r>
        <w:rPr/>
        <w:t xml:space="preserve">Our property is set on hilly bushland, so we encourage guests to contact us directly with any questions regarding accessibility. Staff live onsite and are available to assist, including with transport via our CFMoto buggy if required.</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In addition, the following further information can assist guests:</w:t>
      </w:r>
    </w:p>
    <w:p>
      <w:pPr>
        <w:spacing/>
        <w:rPr/>
      </w:pPr>
      <w:r>
        <w:rPr/>
        <w:t xml:space="preserve">We have an Access and Inclusion Statement on our website which outlines our commitment to supporting all guests. In short, our team is here to help — whether you need assistance getting around the property, setting up special equipment, or accessing services. We encourage guests to let us know their needs at the time of booking so we can be ready to assist. </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The terrain at King Parrot Cottages is naturally hilly, with gravel pathways throughout the property. &amp;nbsp;Mannagum Cottage itself and access to, is step-free, however access around the property involves navigating these sloping gravel paths. </w:t>
      </w:r>
    </w:p>
    <w:p>
      <w:pPr>
        <w:pStyle w:val="ListBullet"/>
        <w:numPr>
          <w:ilvl w:val="0"/>
          <w:numId w:val="35"/>
        </w:numPr>
        <w:spacing/>
        <w:rPr/>
      </w:pPr>
      <w:r>
        <w:rPr/>
        <w:t xml:space="preserve">In addition, the following further information can assist guests:</w:t>
      </w:r>
    </w:p>
    <w:p>
      <w:pPr>
        <w:spacing/>
        <w:rPr/>
      </w:pPr>
      <w:r>
        <w:rPr/>
        <w:t xml:space="preserve">Mannagum Cottage itself is step-free, however access to the Games Room does include two steps. </w:t>
      </w:r>
    </w:p>
    <w:p>
      <w:pPr>
        <w:spacing/>
        <w:rPr/>
      </w:pPr>
      <w:r>
        <w:rPr/>
        <w:t xml:space="preserve"> </w:t>
      </w:r>
    </w:p>
    <w:p>
      <w:pPr>
        <w:pStyle w:val="Heading2"/>
        <w:spacing/>
        <w:rPr/>
      </w:pPr>
      <w:bookmarkStart w:id="17" w:name="_Toc0000000013"/>
      <w:r>
        <w:rPr/>
        <w:t xml:space="preserve">Ramps</w:t>
      </w:r>
      <w:bookmarkEnd w:id="17"/>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In addition, the following further information can assist guests:</w:t>
      </w:r>
    </w:p>
    <w:p>
      <w:pPr>
        <w:spacing/>
        <w:rPr/>
      </w:pPr>
      <w:r>
        <w:rPr/>
        <w:t xml:space="preserve">King Parrot does not have public accessible toilets, but an accessible bathroom is located in Mannagum Cottage.</w:t>
      </w:r>
    </w:p>
    <w:p>
      <w:pPr>
        <w:pStyle w:val="Heading1"/>
        <w:spacing/>
        <w:rPr/>
      </w:pPr>
      <w:bookmarkStart w:id="18" w:name="_Toc0000000014"/>
      <w:r>
        <w:rPr/>
        <w:t xml:space="preserve">ACCOMMODATION</w:t>
      </w:r>
      <w:bookmarkEnd w:id="18"/>
    </w:p>
    <w:p>
      <w:pPr>
        <w:spacing/>
        <w:rPr/>
      </w:pPr>
      <w:r>
        <w:rPr/>
        <w:t xml:space="preserve"> </w:t>
      </w:r>
    </w:p>
    <w:p>
      <w:pPr>
        <w:pStyle w:val="Heading2"/>
        <w:spacing/>
        <w:rPr/>
      </w:pPr>
      <w:bookmarkStart w:id="19" w:name="_Toc0000000015"/>
      <w:r>
        <w:rPr/>
        <w:t xml:space="preserve">Bedrooms</w:t>
      </w:r>
      <w:bookmarkEnd w:id="19"/>
    </w:p>
    <w:p>
      <w:pPr>
        <w:spacing/>
        <w:rPr/>
      </w:pPr>
      <w:r>
        <w:rPr/>
        <w:t xml:space="preserve">The bedrooms  have the following facilities/amenities in place</w:t>
      </w:r>
    </w:p>
    <w:p>
      <w:pPr>
        <w:pStyle w:val="ListBullet"/>
        <w:numPr>
          <w:ilvl w:val="0"/>
          <w:numId w:val="35"/>
        </w:numPr>
        <w:spacing/>
        <w:rPr/>
      </w:pPr>
      <w:r>
        <w:rPr/>
        <w:t xml:space="preserve">There are We have one bedroom available which is suitable for wheelchair users who are independent in transfers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Accessible Accommodation Otways Mannagum king bedroom with accessible door</w:t>
      </w:r>
    </w:p>
    <w:p>
      <w:pPr>
        <w:spacing/>
        <w:rPr/>
      </w:pPr>
      <w:r>
        <w:rPr/>
        <w:t xml:space="preserve"> </w:t>
      </w:r>
    </w:p>
    <w:p>
      <w:pPr>
        <w:pStyle w:val="Heading2"/>
        <w:spacing/>
        <w:rPr/>
      </w:pPr>
      <w:bookmarkStart w:id="20" w:name="_Toc0000000016"/>
      <w:r>
        <w:rPr/>
        <w:t xml:space="preserve">Room Amenities</w:t>
      </w:r>
      <w:bookmarkEnd w:id="20"/>
    </w:p>
    <w:p>
      <w:pPr>
        <w:spacing/>
        <w:rPr/>
      </w:pPr>
    </w:p>
    <w:p>
      <w:pPr>
        <w:pBdr/>
        <w:spacing/>
        <w:rPr/>
      </w:pPr>
      <w:r>
        <w:rPr/>
        <w:t xml:space="preserve">There is no wardrobe in the bedroom.</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1" w:name="_Toc0000000017"/>
      <w:r>
        <w:rPr/>
        <w:t xml:space="preserve">Bathrooms</w:t>
      </w:r>
      <w:bookmarkEnd w:id="21"/>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60cm mm of clear space in front of the toilet</w:t>
      </w:r>
    </w:p>
    <w:p>
      <w:pPr>
        <w:pStyle w:val="ListBullet"/>
        <w:numPr>
          <w:ilvl w:val="0"/>
          <w:numId w:val="35"/>
        </w:numPr>
        <w:spacing/>
        <w:rPr/>
      </w:pPr>
      <w:r>
        <w:rPr/>
        <w:t xml:space="preserve">The actual height of the toilet seat is it is 45cm from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A door is fitted to the shower</w:t>
      </w:r>
    </w:p>
    <w:p>
      <w:pPr>
        <w:pStyle w:val="Subtitle"/>
        <w:spacing/>
        <w:rPr/>
      </w:pPr>
      <w:r>
        <w:rPr/>
        <w:t xml:space="preserve">Bathroom Image(s)</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Accessible Accommodation Otways bathroom with toilet seat</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Accessible Accommodation Otways shower chair and toilet seat</w:t>
      </w:r>
    </w:p>
    <w:p>
      <w:pPr>
        <w:pStyle w:val="ListBullet"/>
        <w:numPr>
          <w:ilvl w:val="0"/>
          <w:numId w:val="35"/>
        </w:numPr>
        <w:spacing/>
        <w:rPr/>
      </w:pPr>
      <w:r>
        <w:rPr/>
        <w:t xml:space="preserve">In addition, the following further information can assist guests:</w:t>
      </w:r>
    </w:p>
    <w:p>
      <w:pPr>
        <w:spacing/>
        <w:rPr/>
      </w:pPr>
      <w:r>
        <w:rPr/>
        <w:t xml:space="preserve">Mannagum Cottage has been thoughtfully designed with step-free access and features to support guests with limited mobility. While the layout allows for wheelchair access, it is most suitable for guests who are independent with transfers, as some areas may be less convenient for full-time wheelchair use. </w:t>
      </w:r>
    </w:p>
    <w:p>
      <w:pPr>
        <w:pStyle w:val="Heading1"/>
        <w:spacing/>
        <w:rPr/>
      </w:pPr>
      <w:bookmarkStart w:id="22" w:name="_Toc0000000018"/>
      <w:r>
        <w:rPr/>
        <w:t xml:space="preserve">COMMON AREAS</w:t>
      </w:r>
      <w:bookmarkEnd w:id="22"/>
    </w:p>
    <w:p>
      <w:pPr>
        <w:spacing/>
        <w:rPr/>
      </w:pPr>
      <w:r>
        <w:rPr/>
        <w:t xml:space="preserve"> </w:t>
      </w:r>
    </w:p>
    <w:p>
      <w:pPr>
        <w:pStyle w:val="Heading2"/>
        <w:spacing/>
        <w:rPr/>
      </w:pPr>
      <w:bookmarkStart w:id="23" w:name="_Toc0000000019"/>
      <w:r>
        <w:rPr/>
        <w:t xml:space="preserve">Play Spaces</w:t>
      </w:r>
      <w:bookmarkEnd w:id="23"/>
    </w:p>
    <w:p>
      <w:pPr>
        <w:pStyle w:val="ListBullet"/>
        <w:numPr>
          <w:ilvl w:val="0"/>
          <w:numId w:val="35"/>
        </w:numPr>
        <w:spacing/>
        <w:rPr/>
      </w:pPr>
      <w:r>
        <w:rPr/>
        <w:t xml:space="preserve">The play space contains tactile play panels or activities</w:t>
      </w:r>
    </w:p>
    <w:p>
      <w:pPr>
        <w:pStyle w:val="ListBullet"/>
        <w:numPr>
          <w:ilvl w:val="0"/>
          <w:numId w:val="35"/>
        </w:numPr>
        <w:spacing/>
        <w:rPr/>
      </w:pPr>
      <w:r>
        <w:rPr/>
        <w:t xml:space="preserve">The space contain colour contrasting elements</w:t>
      </w:r>
    </w:p>
    <w:p>
      <w:pPr>
        <w:pStyle w:val="ListBullet"/>
        <w:numPr>
          <w:ilvl w:val="0"/>
          <w:numId w:val="35"/>
        </w:numPr>
        <w:spacing/>
        <w:rPr/>
      </w:pPr>
      <w:r>
        <w:rPr/>
        <w:t xml:space="preserve">Seating is provided in or around the play space</w:t>
      </w:r>
    </w:p>
    <w:p>
      <w:pPr>
        <w:pStyle w:val="Subtitle"/>
        <w:spacing/>
        <w:rPr/>
      </w:pPr>
      <w:r>
        <w:rPr/>
        <w:t xml:space="preserve">Image(s)</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BBQ and playground</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Pool with chairs and BBQ</w:t>
      </w:r>
    </w:p>
    <w:p>
      <w:pPr>
        <w:spacing/>
        <w:rPr/>
      </w:pPr>
      <w:r>
        <w:rPr/>
        <w:drawing>
          <wp:inline>
            <wp:extent cx="16891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689100" cy="2540000"/>
                    </a:xfrm>
                    <a:prstGeom prst="rect">
                      <a:avLst/>
                    </a:prstGeom>
                  </pic:spPr>
                </pic:pic>
              </a:graphicData>
            </a:graphic>
          </wp:inline>
        </w:drawing>
      </w:r>
    </w:p>
    <w:p>
      <w:pPr>
        <w:spacing/>
        <w:rPr/>
      </w:pPr>
      <w:r>
        <w:rPr/>
        <w:t xml:space="preserve">Swings</w:t>
      </w:r>
    </w:p>
    <w:p>
      <w:pPr>
        <w:spacing/>
        <w:rPr/>
      </w:pPr>
      <w:r>
        <w:rPr/>
        <w:drawing>
          <wp:inline>
            <wp:extent cx="16891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689100" cy="2540000"/>
                    </a:xfrm>
                    <a:prstGeom prst="rect">
                      <a:avLst/>
                    </a:prstGeom>
                  </pic:spPr>
                </pic:pic>
              </a:graphicData>
            </a:graphic>
          </wp:inline>
        </w:drawing>
      </w:r>
    </w:p>
    <w:p>
      <w:pPr>
        <w:spacing/>
        <w:rPr/>
      </w:pPr>
      <w:r>
        <w:rPr/>
        <w:t xml:space="preserve">Sand pit and trees</w:t>
      </w:r>
    </w:p>
    <w:p>
      <w:pPr>
        <w:spacing/>
        <w:rPr/>
      </w:pPr>
      <w:r>
        <w:rPr/>
        <w:drawing>
          <wp:inline>
            <wp:extent cx="2540000" cy="16891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689100"/>
                    </a:xfrm>
                    <a:prstGeom prst="rect">
                      <a:avLst/>
                    </a:prstGeom>
                  </pic:spPr>
                </pic:pic>
              </a:graphicData>
            </a:graphic>
          </wp:inline>
        </w:drawing>
      </w:r>
    </w:p>
    <w:p>
      <w:pPr>
        <w:spacing/>
        <w:rPr/>
      </w:pPr>
      <w:r>
        <w:rPr/>
        <w:t xml:space="preserve">Games room inside table tennis and air hockey</w:t>
      </w:r>
    </w:p>
    <w:p>
      <w:pPr>
        <w:pStyle w:val="ListBullet"/>
        <w:numPr>
          <w:ilvl w:val="0"/>
          <w:numId w:val="35"/>
        </w:numPr>
        <w:spacing/>
        <w:rPr/>
      </w:pPr>
      <w:r>
        <w:rPr/>
        <w:t xml:space="preserve">In addition, the following further information can assist guests:</w:t>
      </w:r>
    </w:p>
    <w:p>
      <w:pPr>
        <w:spacing/>
        <w:rPr/>
      </w:pPr>
      <w:r>
        <w:rPr/>
        <w:t xml:space="preserve">The Games Room is accessed via two steps at the entrance. </w:t>
      </w:r>
    </w:p>
    <w:p>
      <w:pPr>
        <w:spacing/>
        <w:rPr/>
      </w:pPr>
      <w:r>
        <w:rPr/>
        <w:t xml:space="preserve"> </w:t>
      </w:r>
    </w:p>
    <w:p>
      <w:pPr>
        <w:pStyle w:val="Heading2"/>
        <w:spacing/>
        <w:rPr/>
      </w:pPr>
      <w:bookmarkStart w:id="24" w:name="_Toc0000000020"/>
      <w:r>
        <w:rPr/>
        <w:t xml:space="preserve">Swimming pools, spas and waterparks</w:t>
      </w:r>
      <w:bookmarkEnd w:id="24"/>
    </w:p>
    <w:p>
      <w:pPr>
        <w:pStyle w:val="ListBullet"/>
        <w:numPr>
          <w:ilvl w:val="0"/>
          <w:numId w:val="35"/>
        </w:numPr>
        <w:spacing/>
        <w:rPr/>
      </w:pPr>
      <w:r>
        <w:rPr/>
        <w:t xml:space="preserve">The following swimming pools, spas and waterparks amenities are available</w:t>
      </w:r>
    </w:p>
    <w:p>
      <w:pPr>
        <w:pStyle w:val="Subtitle"/>
        <w:spacing/>
        <w:rPr/>
      </w:pPr>
      <w:r>
        <w:rPr/>
        <w:t xml:space="preserve">Pool Access Image(s)</w:t>
      </w:r>
    </w:p>
    <w:p>
      <w:pPr>
        <w:spacing/>
        <w:rPr/>
      </w:pPr>
      <w:r>
        <w:rPr/>
        <w:drawing>
          <wp:inline>
            <wp:extent cx="2540000" cy="16891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689100"/>
                    </a:xfrm>
                    <a:prstGeom prst="rect">
                      <a:avLst/>
                    </a:prstGeom>
                  </pic:spPr>
                </pic:pic>
              </a:graphicData>
            </a:graphic>
          </wp:inline>
        </w:drawing>
      </w:r>
    </w:p>
    <w:p>
      <w:pPr>
        <w:spacing/>
        <w:rPr/>
      </w:pPr>
      <w:r>
        <w:rPr/>
        <w:t xml:space="preserve">Pool</w:t>
      </w:r>
    </w:p>
    <w:p>
      <w:pPr>
        <w:spacing/>
        <w:rPr/>
      </w:pPr>
      <w:r>
        <w:rPr/>
        <w:drawing>
          <wp:inline>
            <wp:extent cx="1905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Pool access</w:t>
      </w:r>
    </w:p>
    <w:p>
      <w:pPr>
        <w:spacing/>
        <w:rPr/>
      </w:pPr>
      <w:r>
        <w:rPr/>
        <w:drawing>
          <wp:inline>
            <wp:extent cx="1905000" cy="2540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Pool access 2</w:t>
      </w:r>
    </w:p>
    <w:p>
      <w:pPr>
        <w:pStyle w:val="ListBullet"/>
        <w:numPr>
          <w:ilvl w:val="0"/>
          <w:numId w:val="35"/>
        </w:numPr>
        <w:spacing/>
        <w:rPr/>
      </w:pPr>
      <w:r>
        <w:rPr/>
        <w:t xml:space="preserve">In addition, the following further information can assist guests:</w:t>
      </w:r>
    </w:p>
    <w:p>
      <w:pPr>
        <w:spacing/>
        <w:rPr/>
      </w:pPr>
      <w:r>
        <w:rPr/>
        <w:t xml:space="preserve">To reach the pool, guests walk across a grassy area with some gentle slopes. The ground is uneven in places, so it may be a little challenging for those with mobility needs. </w:t>
      </w:r>
    </w:p>
    <w:p>
      <w:pPr>
        <w:spacing/>
        <w:rPr/>
      </w:pPr>
      <w:r>
        <w:rPr/>
        <w:t xml:space="preserve"> </w:t>
      </w:r>
    </w:p>
    <w:p>
      <w:pPr>
        <w:pStyle w:val="Heading2"/>
        <w:spacing/>
        <w:rPr/>
      </w:pPr>
      <w:bookmarkStart w:id="25" w:name="_Toc0000000021"/>
      <w:r>
        <w:rPr/>
        <w:t xml:space="preserve">Parks and gardens</w:t>
      </w:r>
      <w:bookmarkEnd w:id="25"/>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The park or garden contains  sensory experiences</w:t>
      </w:r>
    </w:p>
    <w:p>
      <w:pPr>
        <w:pStyle w:val="ListBullet"/>
        <w:numPr>
          <w:ilvl w:val="0"/>
          <w:numId w:val="35"/>
        </w:numPr>
        <w:spacing/>
        <w:rPr/>
      </w:pPr>
      <w:r>
        <w:rPr/>
        <w:t xml:space="preserve">The park contains an observation deck or tower</w:t>
      </w:r>
    </w:p>
    <w:p>
      <w:pPr>
        <w:pStyle w:val="ListBullet"/>
        <w:numPr>
          <w:ilvl w:val="0"/>
          <w:numId w:val="35"/>
        </w:numPr>
        <w:spacing/>
        <w:rPr/>
      </w:pPr>
      <w:r>
        <w:rPr/>
        <w:t xml:space="preserve">The observation deck or tower has level or ramped access</w:t>
      </w:r>
    </w:p>
    <w:p>
      <w:pPr>
        <w:pStyle w:val="ListBullet"/>
        <w:numPr>
          <w:ilvl w:val="0"/>
          <w:numId w:val="35"/>
        </w:numPr>
        <w:spacing/>
        <w:rPr/>
      </w:pPr>
      <w:r>
        <w:rPr/>
        <w:t xml:space="preserve">The observation deck provides a clear view through the safety railing</w:t>
      </w:r>
    </w:p>
    <w:p>
      <w:pPr>
        <w:pStyle w:val="Subtitle"/>
        <w:spacing/>
        <w:rPr/>
      </w:pPr>
      <w:r>
        <w:rPr/>
        <w:t xml:space="preserve">Parks and Gardens Access/Entry Image(s)</w:t>
      </w:r>
    </w:p>
    <w:p>
      <w:pPr>
        <w:spacing/>
        <w:rPr/>
      </w:pPr>
      <w:r>
        <w:rPr/>
        <w:drawing>
          <wp:inline>
            <wp:extent cx="2540000" cy="16891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689100"/>
                    </a:xfrm>
                    <a:prstGeom prst="rect">
                      <a:avLst/>
                    </a:prstGeom>
                  </pic:spPr>
                </pic:pic>
              </a:graphicData>
            </a:graphic>
          </wp:inline>
        </w:drawing>
      </w:r>
    </w:p>
    <w:p>
      <w:pPr>
        <w:spacing/>
        <w:rPr/>
      </w:pPr>
      <w:r>
        <w:rPr/>
        <w:t xml:space="preserve">Walking track Diggers Ave</w:t>
      </w:r>
    </w:p>
    <w:p>
      <w:pPr>
        <w:spacing/>
        <w:rPr/>
      </w:pPr>
      <w:r>
        <w:rPr/>
        <w:drawing>
          <wp:inline>
            <wp:extent cx="2540000" cy="16891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689100"/>
                    </a:xfrm>
                    <a:prstGeom prst="rect">
                      <a:avLst/>
                    </a:prstGeom>
                  </pic:spPr>
                </pic:pic>
              </a:graphicData>
            </a:graphic>
          </wp:inline>
        </w:drawing>
      </w:r>
    </w:p>
    <w:p>
      <w:pPr>
        <w:spacing/>
        <w:rPr/>
      </w:pPr>
      <w:r>
        <w:rPr/>
        <w:t xml:space="preserve">Outlook from lodge car park</w:t>
      </w:r>
    </w:p>
    <w:p>
      <w:pPr>
        <w:spacing/>
        <w:rPr/>
      </w:pPr>
      <w:r>
        <w:rPr/>
        <w:drawing>
          <wp:inline>
            <wp:extent cx="2540000" cy="16891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2540000" cy="1689100"/>
                    </a:xfrm>
                    <a:prstGeom prst="rect">
                      <a:avLst/>
                    </a:prstGeom>
                  </pic:spPr>
                </pic:pic>
              </a:graphicData>
            </a:graphic>
          </wp:inline>
        </w:drawing>
      </w:r>
    </w:p>
    <w:p>
      <w:pPr>
        <w:spacing/>
        <w:rPr/>
      </w:pPr>
      <w:r>
        <w:rPr/>
        <w:t xml:space="preserve">BBQ pool playground</w:t>
      </w:r>
    </w:p>
    <w:p>
      <w:pPr>
        <w:spacing/>
        <w:rPr/>
      </w:pPr>
      <w:r>
        <w:rPr/>
        <w:drawing>
          <wp:inline>
            <wp:extent cx="1689100" cy="2540000"/>
            <wp:docPr id="16"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1689100" cy="2540000"/>
                    </a:xfrm>
                    <a:prstGeom prst="rect">
                      <a:avLst/>
                    </a:prstGeom>
                  </pic:spPr>
                </pic:pic>
              </a:graphicData>
            </a:graphic>
          </wp:inline>
        </w:drawing>
      </w:r>
    </w:p>
    <w:p>
      <w:pPr>
        <w:spacing/>
        <w:rPr/>
      </w:pPr>
      <w:r>
        <w:rPr/>
        <w:t xml:space="preserve">Road to Mannagum</w:t>
      </w:r>
    </w:p>
    <w:p>
      <w:pPr>
        <w:pStyle w:val="ListBullet"/>
        <w:numPr>
          <w:ilvl w:val="0"/>
          <w:numId w:val="35"/>
        </w:numPr>
        <w:spacing/>
        <w:rPr/>
      </w:pPr>
      <w:r>
        <w:rPr/>
        <w:t xml:space="preserve">In addition, the following further information can assist guests:</w:t>
      </w:r>
    </w:p>
    <w:p>
      <w:pPr>
        <w:spacing/>
        <w:rPr/>
      </w:pPr>
      <w:r>
        <w:rPr/>
        <w:t xml:space="preserve">Our natural setting offers a variety of sensory experiences. Guests can enjoy the sights and sounds of native wildlife, the scent of eucalyptus and other bushland plants, the feel of textured bark and natural surfaces, and the calming experience of moving water at the creek and waterfall. </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ListBullet"/>
        <w:numPr>
          <w:ilvl w:val="0"/>
          <w:numId w:val="35"/>
        </w:numPr>
        <w:spacing/>
        <w:rPr/>
      </w:pPr>
      <w:r>
        <w:rPr/>
        <w:t xml:space="preserve">A handrail is available and at 865-965mm in height.</w:t>
      </w:r>
    </w:p>
    <w:p>
      <w:pPr>
        <w:pStyle w:val="ListBullet"/>
        <w:numPr>
          <w:ilvl w:val="0"/>
          <w:numId w:val="35"/>
        </w:numPr>
        <w:spacing/>
        <w:rPr/>
      </w:pPr>
      <w:r>
        <w:rPr/>
        <w:t xml:space="preserve">The handrail is continuously graspable along entire length at least one side.</w:t>
      </w:r>
    </w:p>
    <w:p>
      <w:pPr>
        <w:pStyle w:val="Subtitle"/>
        <w:spacing/>
        <w:rPr/>
      </w:pPr>
      <w:r>
        <w:rPr/>
        <w:t xml:space="preserve">Parks and Gardens Stair entry and exit Image(s)</w:t>
      </w:r>
    </w:p>
    <w:p>
      <w:pPr>
        <w:spacing/>
        <w:rPr/>
      </w:pPr>
      <w:r>
        <w:rPr/>
        <w:drawing>
          <wp:inline>
            <wp:extent cx="2540000" cy="1689100"/>
            <wp:docPr id="17"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Lodge viewing area only used during events for if people specially book the Lodge (not accessiable) </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B326F1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9" Type="http://schemas.openxmlformats.org/officeDocument/2006/relationships/styles" Target="styles.xml" /><Relationship Id="rId20" Type="http://schemas.openxmlformats.org/officeDocument/2006/relationships/settings" Target="settings.xml" /><Relationship Id="rId21" Type="http://schemas.openxmlformats.org/officeDocument/2006/relationships/theme" Target="theme/theme1.xml" /><Relationship Id="rId22" Type="http://schemas.openxmlformats.org/officeDocument/2006/relationships/numbering" Target="numbering.xml" /><Relationship Id="rId1" Type="http://schemas.openxmlformats.org/officeDocument/2006/relationships/footer" Target="footer1.xml" /><Relationship Id="rId23"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18" Type="http://schemas.openxmlformats.org/officeDocument/2006/relationships/image" Target="media/image17.jpeg" /><Relationship Id="rId24" Type="http://schemas.openxmlformats.org/officeDocument/2006/relationships/customXml" Target="../customXml/item1.xml" /><Relationship Id="rId25" Type="http://schemas.openxmlformats.org/officeDocument/2006/relationships/customXml" Target="../customXml/item2.xml" /><Relationship Id="rId26" Type="http://schemas.openxmlformats.org/officeDocument/2006/relationships/customXml" Target="../customXml/item3.xml" /><Relationship Id="rId2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