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Vibrant Health</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27 Marginata Place</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Wanneroo</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Kohra Hildebrand</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0428392390</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kohra1@bigpond.com</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www.vibrant-health.net.au</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2026-06-03 17:18</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4</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GENERAL</w:t>
          </w:r>
          <w:r>
            <w:rPr/>
            <w:tab/>
            <w:t xml:space="preserve"/>
          </w:r>
          <w:r>
            <w:rPr/>
            <w:fldChar w:fldCharType="begin"/>
          </w:r>
          <w:r>
            <w:rPr/>
            <w:instrText xml:space="preserve">PAGEREF _Toc0000000005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_Toc0000000006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Car Park and Access amenities</w:t>
          </w:r>
          <w:r>
            <w:rPr/>
            <w:tab/>
            <w:t xml:space="preserve"/>
          </w:r>
          <w:r>
            <w:rPr/>
            <w:fldChar w:fldCharType="begin"/>
          </w:r>
          <w:r>
            <w:rPr/>
            <w:instrText xml:space="preserve">PAGEREF _Toc0000000007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_Toc0000000008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Steps</w:t>
          </w:r>
          <w:r>
            <w:rPr/>
            <w:tab/>
            <w:t xml:space="preserve"/>
          </w:r>
          <w:r>
            <w:rPr/>
            <w:fldChar w:fldCharType="begin"/>
          </w:r>
          <w:r>
            <w:rPr/>
            <w:instrText xml:space="preserve">PAGEREF _Toc0000000009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Public Toilets/Adult change facilities</w:t>
          </w:r>
          <w:r>
            <w:rPr/>
            <w:tab/>
            <w:t xml:space="preserve"/>
          </w:r>
          <w:r>
            <w:rPr/>
            <w:fldChar w:fldCharType="begin"/>
          </w:r>
          <w:r>
            <w:rPr/>
            <w:instrText xml:space="preserve">PAGEREF _Toc0000000010 \h</w:instrText>
          </w:r>
          <w:r>
            <w:rPr/>
            <w:fldChar w:fldCharType="separate"/>
          </w:r>
          <w:r>
            <w:rPr/>
            <w:t xml:space="preserve">7</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ATTRACTIONS</w:t>
          </w:r>
          <w:r>
            <w:rPr/>
            <w:tab/>
            <w:t xml:space="preserve"/>
          </w:r>
          <w:r>
            <w:rPr/>
            <w:fldChar w:fldCharType="begin"/>
          </w:r>
          <w:r>
            <w:rPr/>
            <w:instrText xml:space="preserve">PAGEREF _Toc0000000011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Attractions Basics</w:t>
          </w:r>
          <w:r>
            <w:rPr/>
            <w:tab/>
            <w:t xml:space="preserve"/>
          </w:r>
          <w:r>
            <w:rPr/>
            <w:fldChar w:fldCharType="begin"/>
          </w:r>
          <w:r>
            <w:rPr/>
            <w:instrText xml:space="preserve">PAGEREF _Toc0000000012 \h</w:instrText>
          </w:r>
          <w:r>
            <w:rPr/>
            <w:fldChar w:fldCharType="separate"/>
          </w:r>
          <w:r>
            <w:rPr/>
            <w:t xml:space="preserve">8</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COMMON AREAS</w:t>
          </w:r>
          <w:r>
            <w:rPr/>
            <w:tab/>
            <w:t xml:space="preserve"/>
          </w:r>
          <w:r>
            <w:rPr/>
            <w:fldChar w:fldCharType="begin"/>
          </w:r>
          <w:r>
            <w:rPr/>
            <w:instrText xml:space="preserve">PAGEREF _Toc0000000013 \h</w:instrText>
          </w:r>
          <w:r>
            <w:rPr/>
            <w:fldChar w:fldCharType="separate"/>
          </w:r>
          <w:r>
            <w:rPr/>
            <w:t xml:space="preserve">9</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EVENTS</w:t>
          </w:r>
          <w:r>
            <w:rPr/>
            <w:tab/>
            <w:t xml:space="preserve"/>
          </w:r>
          <w:r>
            <w:rPr/>
            <w:fldChar w:fldCharType="begin"/>
          </w:r>
          <w:r>
            <w:rPr/>
            <w:instrText xml:space="preserve">PAGEREF _Toc0000000014 \h</w:instrText>
          </w:r>
          <w:r>
            <w:rPr/>
            <w:fldChar w:fldCharType="separate"/>
          </w:r>
          <w:r>
            <w:rPr/>
            <w:t xml:space="preserve">10</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Events</w:t>
          </w:r>
          <w:r>
            <w:rPr/>
            <w:tab/>
            <w:t xml:space="preserve"/>
          </w:r>
          <w:r>
            <w:rPr/>
            <w:fldChar w:fldCharType="begin"/>
          </w:r>
          <w:r>
            <w:rPr/>
            <w:instrText xml:space="preserve">PAGEREF _Toc0000000015 \h</w:instrText>
          </w:r>
          <w:r>
            <w:rPr/>
            <w:fldChar w:fldCharType="separate"/>
          </w:r>
          <w:r>
            <w:rPr/>
            <w:t xml:space="preserve">10</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_Toc0000000016 \h</w:instrText>
          </w:r>
          <w:r>
            <w:rPr/>
            <w:fldChar w:fldCharType="separate"/>
          </w:r>
          <w:r>
            <w:rPr/>
            <w:t xml:space="preserve">12</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Attraction</w:t>
      </w:r>
    </w:p>
    <w:p>
      <w:pPr>
        <w:pStyle w:val="ListBullet"/>
        <w:numPr>
          <w:ilvl w:val="0"/>
          <w:numId w:val="35"/>
        </w:numPr>
        <w:spacing/>
        <w:rPr/>
      </w:pPr>
      <w:r>
        <w:rPr/>
        <w:t xml:space="preserve">Event</w:t>
      </w:r>
    </w:p>
    <w:p>
      <w:pPr>
        <w:spacing/>
        <w:rPr/>
      </w:pPr>
      <w:r>
        <w:rPr/>
        <w:drawing>
          <wp:inline>
            <wp:extent cx="2540000" cy="18161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2540000" cy="181610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Exit signs are clear and easy to see</w:t>
      </w:r>
    </w:p>
    <w:p>
      <w:pPr>
        <w:pStyle w:val="ListBullet"/>
        <w:numPr>
          <w:ilvl w:val="0"/>
          <w:numId w:val="35"/>
        </w:numPr>
        <w:spacing/>
        <w:rPr/>
      </w:pPr>
      <w:r>
        <w:rPr/>
        <w:t xml:space="preserve">Exit access is free and clear at all times</w:t>
      </w:r>
    </w:p>
    <w:p>
      <w:pPr>
        <w:spacing/>
        <w:rPr/>
      </w:pPr>
      <w:r>
        <w:rPr/>
        <w:t xml:space="preserve">We ensure exit access is free and clear at all times by: </w:t>
      </w:r>
    </w:p>
    <w:p>
      <w:pPr>
        <w:pBdr/>
        <w:spacing/>
        <w:rPr/>
      </w:pPr>
      <w:r>
        <w:rPr/>
        <w:t xml:space="preserve">steps and entry area leading up to exit door are kept clear for easy access</w:t>
      </w:r>
    </w:p>
    <w:p>
      <w:pPr>
        <w:pStyle w:val="ListBullet"/>
        <w:numPr>
          <w:ilvl w:val="0"/>
          <w:numId w:val="35"/>
        </w:numPr>
        <w:spacing/>
        <w:rPr/>
      </w:pPr>
      <w:r>
        <w:rPr/>
        <w:t xml:space="preserve">Exits and access to exists are greater than 900mm</w:t>
      </w:r>
    </w:p>
    <w:p>
      <w:pPr>
        <w:pStyle w:val="ListBullet"/>
        <w:numPr>
          <w:ilvl w:val="0"/>
          <w:numId w:val="35"/>
        </w:numPr>
        <w:spacing/>
        <w:rPr/>
      </w:pPr>
      <w:r>
        <w:rPr/>
        <w:t xml:space="preserve">Exit doors are able to be opened by all occupants</w:t>
      </w:r>
    </w:p>
    <w:p>
      <w:pPr>
        <w:pStyle w:val="ListBullet"/>
        <w:numPr>
          <w:ilvl w:val="0"/>
          <w:numId w:val="35"/>
        </w:numPr>
        <w:spacing/>
        <w:rPr/>
      </w:pPr>
      <w:r>
        <w:rPr/>
        <w:t xml:space="preserve">Exits to the emergency evacuation point does not include stairways</w:t>
      </w:r>
    </w:p>
    <w:p>
      <w:pPr>
        <w:spacing/>
        <w:rPr/>
      </w:pPr>
      <w:r>
        <w:rPr/>
        <w:t xml:space="preserve">The business identifies guests who need additional assistance should an emergency occur by: </w:t>
      </w:r>
    </w:p>
    <w:p>
      <w:pPr>
        <w:pBdr/>
        <w:spacing/>
        <w:rPr/>
      </w:pPr>
      <w:r>
        <w:rPr/>
        <w:t xml:space="preserve">Guests with a disability are able to be identified during the booking process if they inform us of their circumstances </w:t>
      </w:r>
    </w:p>
    <w:p>
      <w:pPr>
        <w:spacing/>
        <w:rPr/>
      </w:pPr>
      <w:r>
        <w:rPr/>
        <w:t xml:space="preserve">The procedure for assisting guests who need assisted rescue is: </w:t>
      </w:r>
    </w:p>
    <w:p>
      <w:pPr>
        <w:pBdr/>
        <w:spacing/>
        <w:rPr/>
      </w:pPr>
      <w:r>
        <w:rPr/>
        <w:t xml:space="preserve">The core principle is the involvement of more than one person to ensure a successful and safe outcome for the person in distress or "external," where a specialized third-party organization is contracted for assistance</w:t>
      </w:r>
    </w:p>
    <w:p>
      <w:pPr>
        <w:spacing/>
        <w:rPr/>
      </w:pPr>
      <w:r>
        <w:rPr/>
        <w:t xml:space="preserve">The business provides the following services for services animals: </w:t>
      </w:r>
    </w:p>
    <w:p>
      <w:pPr>
        <w:pBdr/>
        <w:spacing/>
        <w:rPr/>
      </w:pPr>
      <w:r>
        <w:rPr/>
        <w:t xml:space="preserve">service animals are not permitted in the yanchep national park cabaret cave where we operate our events from</w:t>
      </w:r>
    </w:p>
    <w:p>
      <w:pPr>
        <w:pStyle w:val="Heading1"/>
        <w:spacing/>
        <w:rPr/>
      </w:pPr>
      <w:bookmarkStart w:id="9" w:name="_Toc0000000005"/>
      <w:r>
        <w:rPr/>
        <w:t xml:space="preserve">GENERAL</w:t>
      </w:r>
      <w:bookmarkEnd w:id="9"/>
    </w:p>
    <w:p>
      <w:pPr>
        <w:spacing/>
        <w:rPr/>
      </w:pPr>
      <w:r>
        <w:rPr/>
        <w:t xml:space="preserve"> </w:t>
      </w:r>
    </w:p>
    <w:p>
      <w:pPr>
        <w:pStyle w:val="Heading2"/>
        <w:spacing/>
        <w:rPr/>
      </w:pPr>
      <w:bookmarkStart w:id="10" w:name="_Toc0000000006"/>
      <w:r>
        <w:rPr/>
        <w:t xml:space="preserve">Pre-arrival, arrival and reception</w:t>
      </w:r>
      <w:bookmarkEnd w:id="10"/>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Information and maps are available in written form</w:t>
      </w:r>
    </w:p>
    <w:p>
      <w:pPr>
        <w:pStyle w:val="ListBullet"/>
        <w:numPr>
          <w:ilvl w:val="0"/>
          <w:numId w:val="35"/>
        </w:numPr>
        <w:spacing/>
        <w:rPr/>
      </w:pPr>
      <w:r>
        <w:rPr/>
        <w:t xml:space="preserve">In addition, the following further information can assist guests:</w:t>
      </w:r>
    </w:p>
    <w:p>
      <w:pPr>
        <w:spacing/>
        <w:rPr/>
      </w:pPr>
      <w:r>
        <w:rPr/>
        <w:t xml:space="preserve">Guests are able to enter the event space early if they suffer from fatigue and need to sit down or rest</w:t>
      </w:r>
    </w:p>
    <w:p>
      <w:pPr>
        <w:spacing/>
        <w:rPr/>
      </w:pPr>
      <w:r>
        <w:rPr/>
        <w:t xml:space="preserve"> </w:t>
      </w:r>
    </w:p>
    <w:p>
      <w:pPr>
        <w:pStyle w:val="Heading2"/>
        <w:spacing/>
        <w:rPr/>
      </w:pPr>
      <w:bookmarkStart w:id="11" w:name="_Toc0000000007"/>
      <w:r>
        <w:rPr/>
        <w:t xml:space="preserve">Car Park and Access amenities</w:t>
      </w:r>
      <w:bookmarkEnd w:id="11"/>
    </w:p>
    <w:p>
      <w:pPr>
        <w:spacing/>
        <w:rPr/>
      </w:pPr>
      <w:r>
        <w:rPr/>
        <w:t xml:space="preserve">The business has the following Car Park and Access amenities</w:t>
      </w:r>
    </w:p>
    <w:p>
      <w:pPr>
        <w:pStyle w:val="ListBullet"/>
        <w:numPr>
          <w:ilvl w:val="0"/>
          <w:numId w:val="35"/>
        </w:numPr>
        <w:spacing/>
        <w:rPr/>
      </w:pPr>
      <w:r>
        <w:rPr/>
        <w:t xml:space="preserve">A drop off zone</w:t>
      </w:r>
    </w:p>
    <w:p>
      <w:pPr>
        <w:pStyle w:val="ListBullet"/>
        <w:numPr>
          <w:ilvl w:val="0"/>
          <w:numId w:val="35"/>
        </w:numPr>
        <w:spacing/>
        <w:rPr/>
      </w:pPr>
      <w:r>
        <w:rPr/>
        <w:t xml:space="preserve">Designated disabled parking bays</w:t>
      </w:r>
    </w:p>
    <w:p>
      <w:pPr>
        <w:pStyle w:val="ListBullet"/>
        <w:numPr>
          <w:ilvl w:val="0"/>
          <w:numId w:val="35"/>
        </w:numPr>
        <w:spacing/>
        <w:rPr/>
      </w:pPr>
      <w:r>
        <w:rPr/>
        <w:t xml:space="preserve">Level or ramped access from the car park to the entrance</w:t>
      </w:r>
    </w:p>
    <w:p>
      <w:pPr>
        <w:spacing/>
        <w:rPr/>
      </w:pPr>
      <w:r>
        <w:rPr/>
        <w:t xml:space="preserve"> </w:t>
      </w:r>
    </w:p>
    <w:p>
      <w:pPr>
        <w:pStyle w:val="Heading2"/>
        <w:spacing/>
        <w:rPr/>
      </w:pPr>
      <w:bookmarkStart w:id="12" w:name="_Toc0000000008"/>
      <w:r>
        <w:rPr/>
        <w:t xml:space="preserve">External Paths</w:t>
      </w:r>
      <w:bookmarkEnd w:id="12"/>
    </w:p>
    <w:p>
      <w:pPr>
        <w:spacing/>
        <w:rPr/>
      </w:pPr>
      <w:r>
        <w:rPr/>
        <w:t xml:space="preserve">External paths of travel</w:t>
      </w:r>
    </w:p>
    <w:p>
      <w:pPr>
        <w:pStyle w:val="ListBullet"/>
        <w:numPr>
          <w:ilvl w:val="0"/>
          <w:numId w:val="35"/>
        </w:numPr>
        <w:spacing/>
        <w:rPr/>
      </w:pPr>
      <w:r>
        <w:rPr/>
        <w:t xml:space="preserve">Surfaces are concrete, asphalt, smooth paving or hard packed fine gravel (max aggregate size 13mm)</w:t>
      </w:r>
    </w:p>
    <w:p>
      <w:pPr>
        <w:pStyle w:val="ListBullet"/>
        <w:numPr>
          <w:ilvl w:val="0"/>
          <w:numId w:val="35"/>
        </w:numPr>
        <w:spacing/>
        <w:rPr/>
      </w:pPr>
      <w:r>
        <w:rPr/>
        <w:t xml:space="preserve">Paths or slopes longer than 15 metres have resting places or seats</w:t>
      </w:r>
    </w:p>
    <w:p>
      <w:pPr>
        <w:pStyle w:val="ListBullet"/>
        <w:numPr>
          <w:ilvl w:val="0"/>
          <w:numId w:val="35"/>
        </w:numPr>
        <w:spacing/>
        <w:rPr/>
      </w:pPr>
      <w:r>
        <w:rPr/>
        <w:t xml:space="preserve">Pathways are wider than 900mm</w:t>
      </w:r>
    </w:p>
    <w:p>
      <w:pPr>
        <w:spacing/>
        <w:rPr/>
      </w:pPr>
      <w:r>
        <w:rPr/>
        <w:t xml:space="preserve"> </w:t>
      </w:r>
    </w:p>
    <w:p>
      <w:pPr>
        <w:pStyle w:val="Heading2"/>
        <w:spacing/>
        <w:rPr/>
      </w:pPr>
      <w:bookmarkStart w:id="13" w:name="_Toc0000000009"/>
      <w:r>
        <w:rPr/>
        <w:t xml:space="preserve">Steps</w:t>
      </w:r>
      <w:bookmarkEnd w:id="13"/>
    </w:p>
    <w:p>
      <w:pPr>
        <w:spacing/>
        <w:rPr/>
      </w:pPr>
      <w:r>
        <w:rPr/>
        <w:t xml:space="preserve">Steps</w:t>
      </w:r>
    </w:p>
    <w:p>
      <w:pPr>
        <w:pStyle w:val="ListBullet"/>
        <w:numPr>
          <w:ilvl w:val="0"/>
          <w:numId w:val="35"/>
        </w:numPr>
        <w:spacing/>
        <w:rPr/>
      </w:pPr>
      <w:r>
        <w:rPr/>
        <w:t xml:space="preserve">There are steps.</w:t>
      </w:r>
    </w:p>
    <w:p>
      <w:pPr>
        <w:pStyle w:val="ListBullet"/>
        <w:numPr>
          <w:ilvl w:val="0"/>
          <w:numId w:val="35"/>
        </w:numPr>
        <w:spacing/>
        <w:rPr/>
      </w:pPr>
      <w:r>
        <w:rPr/>
        <w:t xml:space="preserve">Handrails fitted to all open sets of steps</w:t>
      </w:r>
    </w:p>
    <w:p>
      <w:pPr>
        <w:pStyle w:val="ListBullet"/>
        <w:numPr>
          <w:ilvl w:val="0"/>
          <w:numId w:val="35"/>
        </w:numPr>
        <w:spacing/>
        <w:rPr/>
      </w:pPr>
      <w:r>
        <w:rPr/>
        <w:t xml:space="preserve">Handrails extend 300mm beyond the top and bottom step</w:t>
      </w:r>
    </w:p>
    <w:p>
      <w:pPr>
        <w:pStyle w:val="ListBullet"/>
        <w:numPr>
          <w:ilvl w:val="0"/>
          <w:numId w:val="35"/>
        </w:numPr>
        <w:spacing/>
        <w:rPr/>
      </w:pPr>
      <w:r>
        <w:rPr/>
        <w:t xml:space="preserve">In addition, the following further information can assist guests:</w:t>
      </w:r>
    </w:p>
    <w:p>
      <w:pPr>
        <w:spacing/>
        <w:rPr/>
      </w:pPr>
      <w:r>
        <w:rPr/>
        <w:t xml:space="preserve">There are around 7 steps into the venue space with a handrail in the middle to assist with access</w:t>
      </w:r>
    </w:p>
    <w:p>
      <w:pPr>
        <w:spacing/>
        <w:rPr/>
      </w:pPr>
      <w:r>
        <w:rPr/>
        <w:t xml:space="preserve"> </w:t>
      </w:r>
    </w:p>
    <w:p>
      <w:pPr>
        <w:pStyle w:val="Heading2"/>
        <w:spacing/>
        <w:rPr/>
      </w:pPr>
      <w:bookmarkStart w:id="14" w:name="_Toc0000000010"/>
      <w:r>
        <w:rPr/>
        <w:t xml:space="preserve">Public Toilets/Adult change facilities</w:t>
      </w:r>
      <w:bookmarkEnd w:id="14"/>
    </w:p>
    <w:p>
      <w:pPr>
        <w:spacing/>
        <w:rPr/>
      </w:pPr>
      <w:r>
        <w:rPr/>
        <w:t xml:space="preserve">Public Toilets/Adult change facilities have the following amenities are in place</w:t>
      </w:r>
    </w:p>
    <w:p>
      <w:pPr>
        <w:pStyle w:val="ListBullet"/>
        <w:numPr>
          <w:ilvl w:val="0"/>
          <w:numId w:val="35"/>
        </w:numPr>
        <w:spacing/>
        <w:rPr/>
      </w:pPr>
      <w:r>
        <w:rPr/>
        <w:t xml:space="preserve">There is an accessible toilet for public use</w:t>
      </w:r>
    </w:p>
    <w:p>
      <w:pPr>
        <w:pStyle w:val="ListBullet"/>
        <w:numPr>
          <w:ilvl w:val="0"/>
          <w:numId w:val="35"/>
        </w:numPr>
        <w:spacing/>
        <w:rPr/>
      </w:pPr>
      <w:r>
        <w:rPr/>
        <w:t xml:space="preserve">The door is at least 850mm wide</w:t>
      </w:r>
    </w:p>
    <w:p>
      <w:pPr>
        <w:pStyle w:val="ListBullet"/>
        <w:numPr>
          <w:ilvl w:val="0"/>
          <w:numId w:val="35"/>
        </w:numPr>
        <w:spacing/>
        <w:rPr/>
      </w:pPr>
      <w:r>
        <w:rPr/>
        <w:t xml:space="preserve">There is a minimum of 850mm beside the toilet</w:t>
      </w:r>
    </w:p>
    <w:p>
      <w:pPr>
        <w:pStyle w:val="ListBullet"/>
        <w:numPr>
          <w:ilvl w:val="0"/>
          <w:numId w:val="35"/>
        </w:numPr>
        <w:spacing/>
        <w:rPr/>
      </w:pPr>
      <w:r>
        <w:rPr/>
        <w:t xml:space="preserve">Handrails are fitted</w:t>
      </w:r>
    </w:p>
    <w:p>
      <w:pPr>
        <w:pStyle w:val="ListBullet"/>
        <w:numPr>
          <w:ilvl w:val="0"/>
          <w:numId w:val="35"/>
        </w:numPr>
        <w:spacing/>
        <w:rPr/>
      </w:pPr>
      <w:r>
        <w:rPr/>
        <w:t xml:space="preserve">The toilet seat is 460mm above the floor</w:t>
      </w:r>
    </w:p>
    <w:p>
      <w:pPr>
        <w:pStyle w:val="ListBullet"/>
        <w:numPr>
          <w:ilvl w:val="0"/>
          <w:numId w:val="35"/>
        </w:numPr>
        <w:spacing/>
        <w:rPr/>
      </w:pPr>
      <w:r>
        <w:rPr/>
        <w:t xml:space="preserve">The toilet seat of a contrasting colour to the floor</w:t>
      </w:r>
    </w:p>
    <w:p>
      <w:pPr>
        <w:pStyle w:val="ListBullet"/>
        <w:numPr>
          <w:ilvl w:val="0"/>
          <w:numId w:val="35"/>
        </w:numPr>
        <w:spacing/>
        <w:rPr/>
      </w:pPr>
      <w:r>
        <w:rPr/>
        <w:t xml:space="preserve">The toilet seat is460mm above the floor</w:t>
      </w:r>
    </w:p>
    <w:p>
      <w:pPr>
        <w:pStyle w:val="Heading1"/>
        <w:spacing/>
        <w:rPr/>
      </w:pPr>
      <w:bookmarkStart w:id="15" w:name="_Toc0000000011"/>
      <w:r>
        <w:rPr/>
        <w:t xml:space="preserve">ATTRACTIONS</w:t>
      </w:r>
      <w:bookmarkEnd w:id="15"/>
    </w:p>
    <w:p>
      <w:pPr>
        <w:spacing/>
        <w:rPr/>
      </w:pPr>
      <w:r>
        <w:rPr/>
        <w:t xml:space="preserve"> </w:t>
      </w:r>
    </w:p>
    <w:p>
      <w:pPr>
        <w:pStyle w:val="Heading2"/>
        <w:spacing/>
        <w:rPr/>
      </w:pPr>
      <w:bookmarkStart w:id="16" w:name="_Toc0000000012"/>
      <w:r>
        <w:rPr/>
        <w:t xml:space="preserve">Attractions Basics</w:t>
      </w:r>
      <w:bookmarkEnd w:id="16"/>
    </w:p>
    <w:p>
      <w:pPr>
        <w:pStyle w:val="ListBullet"/>
        <w:numPr>
          <w:ilvl w:val="0"/>
          <w:numId w:val="35"/>
        </w:numPr>
        <w:spacing/>
        <w:rPr/>
      </w:pPr>
      <w:r>
        <w:rPr/>
        <w:t xml:space="preserve">A park map is available here:</w:t>
      </w:r>
    </w:p>
    <w:p>
      <w:pPr>
        <w:spacing/>
        <w:rPr/>
      </w:pPr>
    </w:p>
    <w:p>
      <w:pPr>
        <w:pBdr/>
        <w:spacing/>
        <w:rPr/>
      </w:pPr>
      <w:r>
        <w:rPr/>
        <w:t xml:space="preserve">www.trybooking.com/BMXGX</w:t>
      </w:r>
    </w:p>
    <w:p>
      <w:pPr>
        <w:pStyle w:val="Heading1"/>
        <w:spacing/>
        <w:rPr/>
      </w:pPr>
      <w:bookmarkStart w:id="17" w:name="_Toc0000000013"/>
      <w:r>
        <w:rPr/>
        <w:t xml:space="preserve">COMMON AREAS</w:t>
      </w:r>
      <w:bookmarkEnd w:id="17"/>
    </w:p>
    <w:p>
      <w:pPr>
        <w:pStyle w:val="Heading1"/>
        <w:spacing/>
        <w:rPr/>
      </w:pPr>
      <w:bookmarkStart w:id="18" w:name="_Toc0000000014"/>
      <w:r>
        <w:rPr/>
        <w:t xml:space="preserve">EVENTS</w:t>
      </w:r>
      <w:bookmarkEnd w:id="18"/>
    </w:p>
    <w:p>
      <w:pPr>
        <w:spacing/>
        <w:rPr/>
      </w:pPr>
      <w:r>
        <w:rPr/>
        <w:t xml:space="preserve"> </w:t>
      </w:r>
    </w:p>
    <w:p>
      <w:pPr>
        <w:pStyle w:val="Heading2"/>
        <w:spacing/>
        <w:rPr/>
      </w:pPr>
      <w:bookmarkStart w:id="19" w:name="_Toc0000000015"/>
      <w:r>
        <w:rPr/>
        <w:t xml:space="preserve">Events</w:t>
      </w:r>
      <w:bookmarkEnd w:id="19"/>
    </w:p>
    <w:p>
      <w:pPr>
        <w:spacing/>
        <w:rPr/>
      </w:pPr>
      <w:r>
        <w:rPr/>
        <w:t xml:space="preserve">Events  have the following facilities/amenities in place</w:t>
      </w:r>
    </w:p>
    <w:p>
      <w:pPr>
        <w:pStyle w:val="ListBullet"/>
        <w:numPr>
          <w:ilvl w:val="0"/>
          <w:numId w:val="35"/>
        </w:numPr>
        <w:spacing/>
        <w:rPr/>
      </w:pPr>
      <w:r>
        <w:rPr/>
        <w:t xml:space="preserve">There is step free access throughout the venue</w:t>
      </w:r>
    </w:p>
    <w:p>
      <w:pPr>
        <w:pStyle w:val="ListBullet"/>
        <w:numPr>
          <w:ilvl w:val="0"/>
          <w:numId w:val="35"/>
        </w:numPr>
        <w:spacing/>
        <w:rPr/>
      </w:pPr>
      <w:r>
        <w:rPr/>
        <w:t xml:space="preserve">All ancillary areas are step free e.g. breakout rooms, dining areas, outside areas and exhibition spaces</w:t>
      </w:r>
    </w:p>
    <w:p>
      <w:pPr>
        <w:pStyle w:val="ListBullet"/>
        <w:numPr>
          <w:ilvl w:val="0"/>
          <w:numId w:val="35"/>
        </w:numPr>
        <w:spacing/>
        <w:rPr/>
      </w:pPr>
      <w:r>
        <w:rPr/>
        <w:t xml:space="preserve">All stage areas including speaker platforms are accessible</w:t>
      </w:r>
    </w:p>
    <w:p>
      <w:pPr>
        <w:pStyle w:val="ListBullet"/>
        <w:numPr>
          <w:ilvl w:val="0"/>
          <w:numId w:val="35"/>
        </w:numPr>
        <w:spacing/>
        <w:rPr/>
      </w:pPr>
      <w:r>
        <w:rPr/>
        <w:t xml:space="preserve">Accessible toilets are available at the venue</w:t>
      </w:r>
    </w:p>
    <w:p>
      <w:pPr>
        <w:pStyle w:val="ListBullet"/>
        <w:numPr>
          <w:ilvl w:val="0"/>
          <w:numId w:val="35"/>
        </w:numPr>
        <w:spacing/>
        <w:rPr/>
      </w:pPr>
      <w:r>
        <w:rPr/>
        <w:t xml:space="preserve">There is  good circulation space with the number of people expected to allow people with a disability to move around freely</w:t>
      </w:r>
    </w:p>
    <w:p>
      <w:pPr>
        <w:pStyle w:val="ListBullet"/>
        <w:numPr>
          <w:ilvl w:val="0"/>
          <w:numId w:val="35"/>
        </w:numPr>
        <w:spacing/>
        <w:rPr/>
      </w:pPr>
      <w:r>
        <w:rPr/>
        <w:t xml:space="preserve">Accessible car parking is available</w:t>
      </w:r>
    </w:p>
    <w:p>
      <w:pPr>
        <w:pStyle w:val="ListBullet"/>
        <w:numPr>
          <w:ilvl w:val="0"/>
          <w:numId w:val="35"/>
        </w:numPr>
        <w:spacing/>
        <w:rPr/>
      </w:pPr>
      <w:r>
        <w:rPr/>
        <w:t xml:space="preserve">There are designated drop-off points</w:t>
      </w:r>
    </w:p>
    <w:p>
      <w:pPr>
        <w:pStyle w:val="ListBullet"/>
        <w:numPr>
          <w:ilvl w:val="0"/>
          <w:numId w:val="35"/>
        </w:numPr>
        <w:spacing/>
        <w:rPr/>
      </w:pPr>
      <w:r>
        <w:rPr/>
        <w:t xml:space="preserve">There is an event map available</w:t>
      </w:r>
    </w:p>
    <w:p>
      <w:pPr>
        <w:pStyle w:val="ListBullet"/>
        <w:numPr>
          <w:ilvl w:val="0"/>
          <w:numId w:val="35"/>
        </w:numPr>
        <w:spacing/>
        <w:rPr/>
        <w:sectPr>
          <w:type w:val="nextPage"/>
          <w:pgSz w:w="11906" w:h="16838"/>
          <w:pgMar w:top="1440" w:right="1440" w:bottom="1440" w:left="1440" w:header="708" w:footer="708" w:gutter="0"/>
          <w:pgBorders/>
          <w:pgNumType w:fmt="decimal"/>
          <w:cols w:num="1" w:equalWidth="1" w:space="708"/>
          <w:docGrid w:linePitch="360"/>
        </w:sectPr>
      </w:pPr>
      <w:r>
        <w:rPr/>
        <w:t xml:space="preserve">The event map shows accessible facilities</w:t>
      </w:r>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20" w:name="_Toc0000000016"/>
      <w:r>
        <w:rPr/>
        <w:t xml:space="preserve">Report Disclaimer</w:t>
      </w:r>
      <w:bookmarkEnd w:id="20"/>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22D487A1"/>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3" Type="http://schemas.openxmlformats.org/officeDocument/2006/relationships/styles" Target="styles.xml" /><Relationship Id="rId4" Type="http://schemas.openxmlformats.org/officeDocument/2006/relationships/settings" Target="settings.xml" /><Relationship Id="rId5" Type="http://schemas.openxmlformats.org/officeDocument/2006/relationships/theme" Target="theme/theme1.xml" /><Relationship Id="rId6" Type="http://schemas.openxmlformats.org/officeDocument/2006/relationships/numbering" Target="numbering.xml" /><Relationship Id="rId1" Type="http://schemas.openxmlformats.org/officeDocument/2006/relationships/footer" Target="footer1.xml" /><Relationship Id="rId7" Type="http://schemas.openxmlformats.org/officeDocument/2006/relationships/fontTable" Target="fontTable.xml" /><Relationship Id="rId2" Type="http://schemas.openxmlformats.org/officeDocument/2006/relationships/image" Target="media/image1.png" /><Relationship Id="rId8" Type="http://schemas.openxmlformats.org/officeDocument/2006/relationships/customXml" Target="../customXml/item1.xml" /><Relationship Id="rId9" Type="http://schemas.openxmlformats.org/officeDocument/2006/relationships/customXml" Target="../customXml/item2.xml" /><Relationship Id="rId10" Type="http://schemas.openxmlformats.org/officeDocument/2006/relationships/customXml" Target="../customXml/item3.xml" /><Relationship Id="rId11"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