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Tassie Tours Tasmania</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30 Woodhurst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Seven Mile Beach </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Patrick Bass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0409404337</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info@tassietours.com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www.tassietours.com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2026-05-19 15:22</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_Toc0000000012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_Toc0000000013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_Toc0000000014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_Toc0000000015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Guides</w:t>
          </w:r>
          <w:r>
            <w:rPr/>
            <w:tab/>
            <w:t xml:space="preserve"/>
          </w:r>
          <w:r>
            <w:rPr/>
            <w:fldChar w:fldCharType="begin"/>
          </w:r>
          <w:r>
            <w:rPr/>
            <w:instrText xml:space="preserve">PAGEREF _Toc0000000016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_Toc0000000017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_Toc0000000018 \h</w:instrText>
          </w:r>
          <w:r>
            <w:rPr/>
            <w:fldChar w:fldCharType="separate"/>
          </w:r>
          <w:r>
            <w:rPr/>
            <w:t xml:space="preserve">14</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spacing/>
        <w:rPr/>
      </w:pPr>
      <w:r>
        <w:rPr/>
        <w:drawing>
          <wp:inline>
            <wp:extent cx="2540000" cy="18796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879600"/>
                    </a:xfrm>
                    <a:prstGeom prst="rect">
                      <a:avLst/>
                    </a:prstGeom>
                  </pic:spPr>
                </pic:pic>
              </a:graphicData>
            </a:graphic>
          </wp:inline>
        </w:drawing>
      </w:r>
    </w:p>
    <w:p>
      <w:pPr>
        <w:spacing/>
        <w:rPr/>
      </w:pPr>
      <w:r>
        <w:rPr/>
        <w:drawing>
          <wp:inline>
            <wp:extent cx="24003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400300" cy="2540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When on the buses yes, but we can't guarantee for external locations on tours. Regular Vehicle Inspections: Tour vehicles are routinely checked to ensure that all emergency exits (including doors, windows, and aisles) are unobstructed and fully operational before each tour departs. Clear Signage &amp; Instructions: Emergency exits are clearly marked with visible signage, and staff provide safety briefings to passengers, reminding them not to block or place items near exits. Passenger Monitoring: Staff monitor the vehicle during stops and while on board to promptly address any safety concerns, including blocked exits.</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spacing/>
        <w:rPr/>
      </w:pPr>
      <w:r>
        <w:rPr/>
        <w:t xml:space="preserve">The business identifies guests who need additional assistance should an emergency occur by: </w:t>
      </w:r>
    </w:p>
    <w:p>
      <w:pPr>
        <w:pBdr/>
        <w:spacing/>
        <w:rPr/>
      </w:pPr>
      <w:r>
        <w:rPr/>
        <w:t xml:space="preserve">Pre-Booking or Booking Stage Questions: Guests are encouraged (often via booking forms or direct inquiries) to disclose any mobility, sensory, medical, or cognitive needs. This allows the business to prepare appropriately in advance.  On-Arrival Interaction: Staff are trained to observe and engage politely with guests upon arrival or boarding. If a guest appears to need assistance or self-identifies, staff can take note discreetly and offer support as needed. Driver &amp; Staff Training: All drivers and guides are trained in safety protocols, including maintaining clear exit paths throughout the journey and ensuring passengers do not leave luggage or personal items in aisles or exit areas.</w:t>
      </w:r>
    </w:p>
    <w:p>
      <w:pPr>
        <w:spacing/>
        <w:rPr/>
      </w:pPr>
      <w:r>
        <w:rPr/>
        <w:t xml:space="preserve">The procedure for assisting guests who need assisted rescue is: </w:t>
      </w:r>
    </w:p>
    <w:p>
      <w:pPr>
        <w:pBdr/>
        <w:spacing/>
        <w:rPr/>
      </w:pPr>
      <w:r>
        <w:rPr/>
        <w:t xml:space="preserve">The staff calmly communicate with the guest needing help, explaining what is happening and what support will be provided.  If possible, the guest is helped to exit using standard means (e.g. walking with assistance, using a ramp or lift).  If mobility is limited or evacuation is difficult, staff may:  Use manual handling techniques (only if trained and safe to do so).  Use available equipment (e.g. evacuation chair, slide board) if present.  Call emergency responders immediately for assistance if the situation is beyond the staff’s capacity. Post-Emergency Follow-Up  Once safe, staff check in with the guest to provide comfort and further support.  An incident report is completed, and any learnings are integrated into future safety training.</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Podcasts available for low vision - please see attached website accessibility page above</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Welcoming Policy Certified service animals are welcomed on all tours, in line with Tasmanian and Australian legislation.  Staff are trained to understand the rights of guests accompanied by service animals and will ensure they are treated respectfully and professionally.  Transport Accommodations Service animals can travel inside tour vehicles with their handler.  Seating can be adjusted where possible to ensure a comfortable and safe space for both the guest and their service animal.  If needed, water-resistant mats or blankets may be provided to help protect seating and ensure hygiene.  Comfort &amp; Welfare Tour stops will include access to water for the animal, and guides can assist in identifying pet-friendly rest areas along the way.  If additional breaks are required for the animal’s wellbeing, guides can accommodate within reason and within tour timing constraints.  Booking Support Guests are encouraged to notify the team during the booking process if they are travelling with a service animal, so appropriate arrangements can be made in advance.  This ensures smooth boarding, suitable vehicle setup, and staff awareness. Compliance and Respect Only legally recognised and accredited assistance animals are permitted (in accordance with Disability Discrimination Act 1992).  Staff will never request personal medical information, but may ask for service animal identification or certification, if not visibly clear.</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Picture Board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step free map/guide</w:t>
      </w:r>
    </w:p>
    <w:p>
      <w:pPr>
        <w:pStyle w:val="ListBullet"/>
        <w:numPr>
          <w:ilvl w:val="0"/>
          <w:numId w:val="35"/>
        </w:numPr>
        <w:spacing/>
        <w:rPr/>
      </w:pPr>
      <w:r>
        <w:rPr/>
        <w:t xml:space="preserve">In addition, the following further information can assist guests:</w:t>
      </w:r>
    </w:p>
    <w:p>
      <w:pPr>
        <w:spacing/>
        <w:rPr/>
      </w:pPr>
      <w:r>
        <w:rPr/>
        <w:t xml:space="preserve">Minimised Wait Times &amp;amp; Prioritised AssistanceGuests who disclose fatigue-related conditions are offered priority boarding and seating, reducing time spent waiting in queues or standing.Where possible, early boarding is arranged to allow guests to settle in comfortably without the stress of crowds or time pressure.Seating Availability at Meeting PointsStaff ensure that accessible seating is available at key tour meeting points or pickup locations, especially for guests who may have difficulty standing for extended periods.If public seating is limited, portable seating solutions may be provided upon request.Pre-Tour CommunicationGuests are encouraged to share access needs during the booking process. This allows staff to plan ahead and minimise physical exertion or waiting periods for individuals with fatigue or chronic conditions.Efficient Boarding ProceduresBoarding processes are kept quick and streamlined for all guests, with additional patience and support offered to those who may need more time or rest before or after boarding.Trained Staff SupportStaff are trained to recognise signs of fatigue and provide appropriate assistance, such as:Offering a place to sit while waitingChecking in regularly throughout the tourAdjusting pace and communication as needed</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The public transport services available are:</w:t>
      </w:r>
    </w:p>
    <w:p>
      <w:pPr>
        <w:spacing/>
        <w:rPr/>
      </w:pPr>
    </w:p>
    <w:p>
      <w:pPr>
        <w:pBdr/>
        <w:spacing/>
        <w:rPr/>
      </w:pPr>
      <w:r>
        <w:rPr/>
        <w:t xml:space="preserve">Tour pickup locations vary, details are given mostly verbally but can also be sent via various forms of technology</w:t>
      </w:r>
    </w:p>
    <w:p>
      <w:pPr>
        <w:pStyle w:val="ListBullet"/>
        <w:numPr>
          <w:ilvl w:val="0"/>
          <w:numId w:val="35"/>
        </w:numPr>
        <w:spacing/>
        <w:rPr/>
      </w:pPr>
      <w:r>
        <w:rPr/>
        <w:t xml:space="preserve">Kerb ramps are in place where a pavement or walkway needs to be crossed</w:t>
      </w:r>
    </w:p>
    <w:p>
      <w:pPr>
        <w:spacing/>
        <w:rPr/>
      </w:pPr>
      <w:r>
        <w:rPr/>
        <w:t xml:space="preserve">The width of the smallest pathway is: </w:t>
      </w:r>
    </w:p>
    <w:p>
      <w:pPr>
        <w:pBdr/>
        <w:spacing/>
        <w:rPr/>
      </w:pPr>
      <w:r>
        <w:rPr/>
        <w:t xml:space="preserve">We run tours, often places visited have very small pathways and we have no way of knowing so felt it best to be on the safe side and say no</w:t>
      </w:r>
    </w:p>
    <w:p>
      <w:pPr>
        <w:spacing/>
        <w:rPr/>
      </w:pPr>
    </w:p>
    <w:p>
      <w:pPr>
        <w:pBdr/>
        <w:spacing/>
        <w:rPr/>
      </w:pPr>
      <w:r>
        <w:rPr/>
        <w:t xml:space="preserve">We run tours, places visited varies</w:t>
      </w:r>
    </w:p>
    <w:p>
      <w:pPr>
        <w:spacing/>
        <w:rPr/>
      </w:pPr>
    </w:p>
    <w:p>
      <w:pPr>
        <w:pBdr/>
        <w:spacing/>
        <w:rPr/>
      </w:pPr>
      <w:r>
        <w:rPr/>
        <w:t xml:space="preserve">We run tours, places visited varies</w:t>
      </w:r>
    </w:p>
    <w:p>
      <w:pPr>
        <w:pStyle w:val="ListBullet"/>
        <w:numPr>
          <w:ilvl w:val="0"/>
          <w:numId w:val="35"/>
        </w:numPr>
        <w:spacing/>
        <w:rPr/>
      </w:pPr>
      <w:r>
        <w:rPr/>
        <w:t xml:space="preserve">In addition, the following further information can assist guests:</w:t>
      </w:r>
    </w:p>
    <w:p>
      <w:pPr>
        <w:spacing/>
        <w:rPr/>
      </w:pPr>
      <w:r>
        <w:rPr/>
        <w:t xml:space="preserve">We run tours, places visited varies</w:t>
      </w:r>
    </w:p>
    <w:p>
      <w:pPr>
        <w:pStyle w:val="ListBullet"/>
        <w:numPr>
          <w:ilvl w:val="0"/>
          <w:numId w:val="35"/>
        </w:numPr>
        <w:spacing/>
        <w:rPr/>
      </w:pPr>
      <w:r>
        <w:rPr/>
        <w:t xml:space="preserve">In addition, the following further information can assist guests:</w:t>
      </w:r>
    </w:p>
    <w:p>
      <w:pPr>
        <w:spacing/>
        <w:rPr/>
      </w:pPr>
      <w:r>
        <w:rPr/>
        <w:t xml:space="preserve">We run tours, places visited varies</w:t>
      </w:r>
    </w:p>
    <w:p>
      <w:pPr>
        <w:spacing/>
        <w:rPr/>
      </w:pPr>
      <w:r>
        <w:rPr/>
        <w:t xml:space="preserve"> </w:t>
      </w:r>
    </w:p>
    <w:p>
      <w:pPr>
        <w:pStyle w:val="Heading2"/>
        <w:spacing/>
        <w:rPr/>
      </w:pPr>
      <w:bookmarkStart w:id="16" w:name="_Toc0000000012"/>
      <w:r>
        <w:rPr/>
        <w:t xml:space="preserve">Public Toilets/Adult change facilities</w:t>
      </w:r>
      <w:bookmarkEnd w:id="16"/>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There is a registered changing places facility</w:t>
      </w:r>
    </w:p>
    <w:p>
      <w:pPr>
        <w:pStyle w:val="ListBullet"/>
        <w:numPr>
          <w:ilvl w:val="0"/>
          <w:numId w:val="35"/>
        </w:numPr>
        <w:spacing/>
        <w:rPr/>
      </w:pPr>
      <w:r>
        <w:rPr/>
        <w:t xml:space="preserve">There is a 'Changing Place' within We run tours, places visited varies, we visit places that have public toilet facilities that adhere to these standards of our business</w:t>
      </w:r>
    </w:p>
    <w:p>
      <w:pPr>
        <w:pStyle w:val="Heading1"/>
        <w:spacing/>
        <w:rPr/>
      </w:pPr>
      <w:bookmarkStart w:id="17" w:name="_Toc0000000013"/>
      <w:r>
        <w:rPr/>
        <w:t xml:space="preserve">TOUR OPERATORS</w:t>
      </w:r>
      <w:bookmarkEnd w:id="17"/>
    </w:p>
    <w:p>
      <w:pPr>
        <w:spacing/>
        <w:rPr/>
      </w:pPr>
      <w:r>
        <w:rPr/>
        <w:t xml:space="preserve"> </w:t>
      </w:r>
    </w:p>
    <w:p>
      <w:pPr>
        <w:pStyle w:val="Heading2"/>
        <w:spacing/>
        <w:rPr/>
      </w:pPr>
      <w:bookmarkStart w:id="18" w:name="_Toc0000000014"/>
      <w:r>
        <w:rPr/>
        <w:t xml:space="preserve">Tour/Transport Services</w:t>
      </w:r>
      <w:bookmarkEnd w:id="18"/>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2 vehicles have wheelchair lifts or ramps</w:t>
      </w:r>
    </w:p>
    <w:p>
      <w:pPr>
        <w:pStyle w:val="ListBullet"/>
        <w:numPr>
          <w:ilvl w:val="0"/>
          <w:numId w:val="35"/>
        </w:numPr>
        <w:spacing/>
        <w:rPr/>
      </w:pPr>
      <w:r>
        <w:rPr/>
        <w:t xml:space="preserve">0 vehicles have low floors with ramped entry</w:t>
      </w:r>
    </w:p>
    <w:p>
      <w:pPr>
        <w:spacing/>
        <w:rPr/>
      </w:pPr>
      <w:r>
        <w:rPr/>
        <w:t xml:space="preserve">The maximum wheelchair capacity available in the fleet is: </w:t>
      </w:r>
    </w:p>
    <w:p>
      <w:pPr>
        <w:pBdr/>
        <w:spacing/>
        <w:rPr/>
      </w:pPr>
      <w:r>
        <w:rPr/>
        <w:t xml:space="preserve">2</w:t>
      </w:r>
    </w:p>
    <w:p>
      <w:pPr>
        <w:pStyle w:val="ListBullet"/>
        <w:numPr>
          <w:ilvl w:val="0"/>
          <w:numId w:val="35"/>
        </w:numPr>
        <w:spacing/>
        <w:rPr/>
      </w:pPr>
      <w:r>
        <w:rPr/>
        <w:t xml:space="preserve">Commentary is available in written format</w:t>
      </w:r>
    </w:p>
    <w:p>
      <w:pPr>
        <w:spacing/>
        <w:rPr/>
      </w:pPr>
      <w:r>
        <w:rPr/>
        <w:t xml:space="preserve"> </w:t>
      </w:r>
    </w:p>
    <w:p>
      <w:pPr>
        <w:pStyle w:val="Heading2"/>
        <w:spacing/>
        <w:rPr/>
      </w:pPr>
      <w:bookmarkStart w:id="19" w:name="_Toc0000000015"/>
      <w:r>
        <w:rPr/>
        <w:t xml:space="preserve">Route Planning</w:t>
      </w:r>
      <w:bookmarkEnd w:id="19"/>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Sightseeing and photo opportunity stops are step free</w:t>
      </w:r>
    </w:p>
    <w:p>
      <w:pPr>
        <w:spacing/>
        <w:rPr/>
      </w:pPr>
      <w:r>
        <w:rPr/>
        <w:t xml:space="preserve"> </w:t>
      </w:r>
    </w:p>
    <w:p>
      <w:pPr>
        <w:pStyle w:val="Heading2"/>
        <w:spacing/>
        <w:rPr/>
      </w:pPr>
      <w:bookmarkStart w:id="20" w:name="_Toc0000000016"/>
      <w:r>
        <w:rPr/>
        <w:t xml:space="preserve">Guides</w:t>
      </w:r>
      <w:bookmarkEnd w:id="20"/>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There is a audio description of surroundings</w:t>
      </w:r>
    </w:p>
    <w:p>
      <w:pPr>
        <w:pStyle w:val="ListBullet"/>
        <w:numPr>
          <w:ilvl w:val="0"/>
          <w:numId w:val="35"/>
        </w:numPr>
        <w:spacing/>
        <w:rPr/>
      </w:pPr>
      <w:r>
        <w:rPr/>
        <w:t xml:space="preserve">In addition, the following further information can assist guests:</w:t>
      </w:r>
    </w:p>
    <w:p>
      <w:pPr>
        <w:spacing/>
        <w:rPr/>
      </w:pPr>
      <w:r>
        <w:rPr/>
        <w:t xml:space="preserve">Port Arthur, Bruny Island Cheese Co. &amp;amp; Beer Co. ,Get Shucked Oyster Bar, Bruny Island Honey ,Cape Bruny Lighthouse, Bonorong Park, Richmond Bridge , St. John’s Catholic Church , Wicked Cheese Company, Littlewood Berry Farm, Richmond Lolly Shop&amp;nbsp; etc.</w:t>
      </w:r>
    </w:p>
    <w:p>
      <w:pPr>
        <w:pStyle w:val="Heading1"/>
        <w:spacing/>
        <w:rPr/>
      </w:pPr>
      <w:bookmarkStart w:id="21" w:name="_Toc0000000017"/>
      <w:r>
        <w:rPr/>
        <w:t xml:space="preserve">ACCOMMODATION</w:t>
      </w:r>
      <w:bookmarkEnd w:id="21"/>
    </w:p>
    <w:p>
      <w:pPr>
        <w:pStyle w:val="ListBullet"/>
        <w:numPr>
          <w:ilvl w:val="0"/>
          <w:numId w:val="35"/>
        </w:numPr>
        <w:spacing/>
        <w:rPr/>
      </w:pPr>
      <w:r>
        <w:rPr/>
        <w:t xml:space="preserve">In addition, the following further information can assist guests:</w:t>
      </w:r>
    </w:p>
    <w:p>
      <w:pPr>
        <w:spacing/>
        <w:rPr/>
      </w:pPr>
      <w:r>
        <w:rPr/>
        <w:t xml:space="preserve">We don't use accomodation</w:t>
      </w:r>
    </w:p>
    <w:p>
      <w:pPr>
        <w:pStyle w:val="ListBullet"/>
        <w:numPr>
          <w:ilvl w:val="0"/>
          <w:numId w:val="35"/>
        </w:numPr>
        <w:spacing/>
        <w:rPr/>
      </w:pPr>
      <w:r>
        <w:rPr/>
        <w:t xml:space="preserve">The width of the door is We don't use accomodation.</w:t>
      </w:r>
    </w:p>
    <w:p>
      <w:pPr>
        <w:pStyle w:val="ListBullet"/>
        <w:numPr>
          <w:ilvl w:val="0"/>
          <w:numId w:val="35"/>
        </w:numPr>
        <w:spacing/>
        <w:rPr/>
      </w:pPr>
      <w:r>
        <w:rPr/>
        <w:t xml:space="preserve">The width beside the toilet is We don't use accommodation.</w:t>
      </w:r>
    </w:p>
    <w:p>
      <w:pPr>
        <w:pStyle w:val="ListBullet"/>
        <w:numPr>
          <w:ilvl w:val="0"/>
          <w:numId w:val="35"/>
        </w:numPr>
        <w:spacing/>
        <w:rPr/>
      </w:pPr>
      <w:r>
        <w:rPr/>
        <w:t xml:space="preserve">There is We don't use accommodation mm of clear space in front of the toilet</w:t>
      </w:r>
    </w:p>
    <w:p>
      <w:pPr>
        <w:pStyle w:val="ListBullet"/>
        <w:numPr>
          <w:ilvl w:val="0"/>
          <w:numId w:val="35"/>
        </w:numPr>
        <w:spacing/>
        <w:rPr/>
      </w:pPr>
      <w:r>
        <w:rPr/>
        <w:t xml:space="preserve">The actual height of the toilet seat is We don't use accommodation.</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We don't use accommodation</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2" w:name="_Toc0000000018"/>
      <w:r>
        <w:rPr/>
        <w:t xml:space="preserve">Report Disclaimer</w:t>
      </w:r>
      <w:bookmarkEnd w:id="22"/>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2E9B1EF6"/>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 Type="http://schemas.openxmlformats.org/officeDocument/2006/relationships/styles" Target="styles.xml" /><Relationship Id="rId5" Type="http://schemas.openxmlformats.org/officeDocument/2006/relationships/settings" Target="settings.xml" /><Relationship Id="rId6" Type="http://schemas.openxmlformats.org/officeDocument/2006/relationships/theme" Target="theme/theme1.xml" /><Relationship Id="rId7" Type="http://schemas.openxmlformats.org/officeDocument/2006/relationships/numbering" Target="numbering.xml" /><Relationship Id="rId1" Type="http://schemas.openxmlformats.org/officeDocument/2006/relationships/footer" Target="footer1.xml" /><Relationship Id="rId8"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9" Type="http://schemas.openxmlformats.org/officeDocument/2006/relationships/customXml" Target="../customXml/item1.xml" /><Relationship Id="rId10" Type="http://schemas.openxmlformats.org/officeDocument/2006/relationships/customXml" Target="../customXml/item2.xml" /><Relationship Id="rId11" Type="http://schemas.openxmlformats.org/officeDocument/2006/relationships/customXml" Target="../customXml/item3.xml" /><Relationship Id="rId12"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