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Holiday Inn Perth</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788 Hay St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Perth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Belinda  Austen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0892617210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belinda.austen@ihg.com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2026-07-27 01:21</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Lifts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Steps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_Toc0000000021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_Toc0000000022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_Toc0000000023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_Toc0000000024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_Toc0000000025 \h</w:instrText>
          </w:r>
          <w:r>
            <w:rPr/>
            <w:fldChar w:fldCharType="separate"/>
          </w:r>
          <w:r>
            <w:rPr/>
            <w:t xml:space="preserve">15</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9177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9177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signs have raised lettering or braille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Staff run floor checks regularly to check fire exits</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including stairwells, have bright edges used on the steps.</w:t>
      </w:r>
    </w:p>
    <w:p>
      <w:pPr>
        <w:spacing/>
        <w:rPr/>
      </w:pPr>
      <w:r>
        <w:rPr/>
        <w:t xml:space="preserve">The business identifies guests who need additional assistance should an emergency occur by: </w:t>
      </w:r>
    </w:p>
    <w:p>
      <w:pPr>
        <w:pBdr/>
        <w:spacing/>
        <w:rPr/>
      </w:pPr>
      <w:r>
        <w:rPr/>
        <w:t xml:space="preserve">A notice board is kept in the front office which is updated daily as guests who require additional assistance check-in/out of the hotel. </w:t>
      </w:r>
    </w:p>
    <w:p>
      <w:pPr>
        <w:spacing/>
        <w:rPr/>
      </w:pPr>
      <w:r>
        <w:rPr/>
        <w:t xml:space="preserve">The procedure for assisting guests who need assisted rescue is: </w:t>
      </w:r>
    </w:p>
    <w:p>
      <w:pPr>
        <w:pBdr/>
        <w:spacing/>
        <w:rPr/>
      </w:pPr>
      <w:r>
        <w:rPr/>
        <w:t xml:space="preserve">If you have guests who are obviously unable to evacuate safely it will be necessary to do the following: 1) Advise the Chief Warden of the situation using WIP phone for further instruction 2) After the remaining guests have evacuated the floor, assist the person close to the fire stairs as directed by the Chief Warden 3) Should there be a need to enter the fire stairs with a disabled person, advise the Chief Warden and position the person in the corner of the small landing so that others can safely pass.</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We have multiple chairs and couches in our lobby for guests to sit comfortably when waiting for check-in.</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Lifts</w:t>
      </w:r>
      <w:bookmarkEnd w:id="16"/>
    </w:p>
    <w:p>
      <w:pPr>
        <w:pStyle w:val="ListBullet"/>
        <w:numPr>
          <w:ilvl w:val="0"/>
          <w:numId w:val="35"/>
        </w:numPr>
        <w:spacing/>
        <w:rPr/>
      </w:pPr>
      <w:r>
        <w:rPr/>
        <w:t xml:space="preserve">Premises has lifts</w:t>
      </w:r>
    </w:p>
    <w:p>
      <w:pPr>
        <w:pStyle w:val="ListBullet"/>
        <w:numPr>
          <w:ilvl w:val="0"/>
          <w:numId w:val="35"/>
        </w:numPr>
        <w:spacing/>
        <w:rPr/>
      </w:pPr>
      <w:r>
        <w:rPr/>
        <w:t xml:space="preserve">Lift location: Left of the reception desks in the lobby. Available to all public; Has visual floor indicator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Pathways are wider than 900mm</w:t>
      </w:r>
    </w:p>
    <w:p>
      <w:pPr>
        <w:spacing/>
        <w:rPr/>
      </w:pPr>
    </w:p>
    <w:p>
      <w:pPr>
        <w:pBdr/>
        <w:spacing/>
        <w:rPr/>
      </w:pPr>
      <w:r>
        <w:rPr/>
        <w:t xml:space="preserve">No paths with steps</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2" w:name="_Toc0000000018"/>
      <w:r>
        <w:rPr/>
        <w:t xml:space="preserve">ACCOMMODATION</w:t>
      </w:r>
      <w:bookmarkEnd w:id="22"/>
    </w:p>
    <w:p>
      <w:pPr>
        <w:spacing/>
        <w:rPr/>
      </w:pPr>
      <w:r>
        <w:rPr/>
        <w:t xml:space="preserve"> </w:t>
      </w:r>
    </w:p>
    <w:p>
      <w:pPr>
        <w:pStyle w:val="Heading2"/>
        <w:spacing/>
        <w:rPr/>
      </w:pPr>
      <w:bookmarkStart w:id="23" w:name="_Toc0000000019"/>
      <w:r>
        <w:rPr/>
        <w:t xml:space="preserve">Bedrooms</w:t>
      </w:r>
      <w:bookmarkEnd w:id="23"/>
    </w:p>
    <w:p>
      <w:pPr>
        <w:spacing/>
        <w:rPr/>
      </w:pPr>
      <w:r>
        <w:rPr/>
        <w:t xml:space="preserve">The bedrooms  have the following facilities/amenities in place</w:t>
      </w:r>
    </w:p>
    <w:p>
      <w:pPr>
        <w:pStyle w:val="ListBullet"/>
        <w:numPr>
          <w:ilvl w:val="0"/>
          <w:numId w:val="35"/>
        </w:numPr>
        <w:spacing/>
        <w:rPr/>
      </w:pPr>
      <w:r>
        <w:rPr/>
        <w:t xml:space="preserve">There are 3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1 King Standard Accessible Room</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1 King Bed Standard Accessible  - alarms</w:t>
      </w:r>
    </w:p>
    <w:p>
      <w:pPr>
        <w:spacing/>
        <w:rPr/>
      </w:pPr>
      <w:r>
        <w:rPr/>
        <w:t xml:space="preserve"> </w:t>
      </w:r>
    </w:p>
    <w:p>
      <w:pPr>
        <w:pStyle w:val="Heading2"/>
        <w:spacing/>
        <w:rPr/>
      </w:pPr>
      <w:bookmarkStart w:id="24" w:name="_Toc0000000020"/>
      <w:r>
        <w:rPr/>
        <w:t xml:space="preserve">Room Amenities</w:t>
      </w:r>
      <w:bookmarkEnd w:id="24"/>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Vibrating alarm clocks</w:t>
      </w:r>
    </w:p>
    <w:p>
      <w:pPr>
        <w:pStyle w:val="ListBullet"/>
        <w:numPr>
          <w:ilvl w:val="0"/>
          <w:numId w:val="35"/>
        </w:numPr>
        <w:spacing/>
        <w:rPr/>
      </w:pPr>
      <w:r>
        <w:rPr/>
        <w:t xml:space="preserve">Room phones have volume control</w:t>
      </w:r>
    </w:p>
    <w:p>
      <w:pPr>
        <w:pStyle w:val="ListBullet"/>
        <w:numPr>
          <w:ilvl w:val="0"/>
          <w:numId w:val="35"/>
        </w:numPr>
        <w:spacing/>
        <w:rPr/>
      </w:pPr>
      <w:r>
        <w:rPr/>
        <w:t xml:space="preserve">Room phones have a visual ringing indicator</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5" w:name="_Toc0000000021"/>
      <w:r>
        <w:rPr/>
        <w:t xml:space="preserve">Bathrooms</w:t>
      </w:r>
      <w:bookmarkEnd w:id="25"/>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width of the door is 800mm.</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Accessible bathroom</w:t>
      </w:r>
    </w:p>
    <w:p>
      <w:pPr>
        <w:pStyle w:val="Heading1"/>
        <w:spacing/>
        <w:rPr/>
      </w:pPr>
      <w:bookmarkStart w:id="26" w:name="_Toc0000000022"/>
      <w:r>
        <w:rPr/>
        <w:t xml:space="preserve">COMMON AREAS</w:t>
      </w:r>
      <w:bookmarkEnd w:id="26"/>
    </w:p>
    <w:p>
      <w:pPr>
        <w:pStyle w:val="Heading1"/>
        <w:spacing/>
        <w:rPr/>
      </w:pPr>
      <w:bookmarkStart w:id="27" w:name="_Toc0000000023"/>
      <w:r>
        <w:rPr/>
        <w:t xml:space="preserve">FOOD AND DRINK</w:t>
      </w:r>
      <w:bookmarkEnd w:id="27"/>
    </w:p>
    <w:p>
      <w:pPr>
        <w:spacing/>
        <w:rPr/>
      </w:pPr>
      <w:r>
        <w:rPr/>
        <w:t xml:space="preserve"> </w:t>
      </w:r>
    </w:p>
    <w:p>
      <w:pPr>
        <w:pStyle w:val="Heading2"/>
        <w:spacing/>
        <w:rPr/>
      </w:pPr>
      <w:bookmarkStart w:id="28" w:name="_Toc0000000024"/>
      <w:r>
        <w:rPr/>
        <w:t xml:space="preserve">Dining Spaces</w:t>
      </w:r>
      <w:bookmarkEnd w:id="28"/>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To avoid cross contamination of food products, we follow strict food safety procedures including:Using seperate cutting boards and utensils for raw and cooked foodsStoring raw meats below ready-to-eat items in refrigerationsEnsuring all staff wash hands thoroughly and regularly, especially between handing different food typesCleaning and sanitising all surfaces and equipment after each useLabelling and dating all food items to maintain proper rotation and storage practices</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sectPr>
          <w:type w:val="nextPage"/>
          <w:pgSz w:w="11906" w:h="16838"/>
          <w:pgMar w:top="1440" w:right="1440" w:bottom="1440" w:left="1440" w:header="708" w:footer="708" w:gutter="0"/>
          <w:pgBorders/>
          <w:pgNumType w:fmt="decimal"/>
          <w:cols w:num="1" w:equalWidth="1" w:space="708"/>
          <w:docGrid w:linePitch="360"/>
        </w:sectPr>
      </w:pPr>
      <w:r>
        <w:rPr/>
        <w:t xml:space="preserve">https://perth.holidayinn.com/dine/in-room-dining/</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9" w:name="_Toc0000000025"/>
      <w:r>
        <w:rPr/>
        <w:t xml:space="preserve">Report Disclaimer</w:t>
      </w:r>
      <w:bookmarkEnd w:id="29"/>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78AA8F2"/>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6" Type="http://schemas.openxmlformats.org/officeDocument/2006/relationships/styles" Target="styles.xml" /><Relationship Id="rId7" Type="http://schemas.openxmlformats.org/officeDocument/2006/relationships/settings" Target="settings.xml" /><Relationship Id="rId8" Type="http://schemas.openxmlformats.org/officeDocument/2006/relationships/theme" Target="theme/theme1.xml" /><Relationship Id="rId9" Type="http://schemas.openxmlformats.org/officeDocument/2006/relationships/numbering" Target="numbering.xml" /><Relationship Id="rId1" Type="http://schemas.openxmlformats.org/officeDocument/2006/relationships/footer" Target="footer1.xml" /><Relationship Id="rId10"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