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All Seasons Holiday Park</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818 fifteenth street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Mildura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Lucy  Bromley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1800223375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info@allseasonscaravanpark.com.au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https://allseasonsholidaypark.com.au/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2026-08-07 18:21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_Toc0000000023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_Toc0000000024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_Toc0000000025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524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524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All team members are trained in our emergency evacuation procedures, which include keeping exit routes clear at all times. Housekeeping, maintenance, and reception staff check all exits during their routine rounds, and any issues are reported and resolved immediately.</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This is noted on bookings and bookings in accessible cabins are in a seperate category</w:t>
      </w:r>
    </w:p>
    <w:p>
      <w:pPr>
        <w:spacing/>
        <w:rPr/>
      </w:pPr>
      <w:r>
        <w:rPr/>
        <w:t xml:space="preserve">The procedure for assisting guests who need assisted rescue is: </w:t>
      </w:r>
    </w:p>
    <w:p>
      <w:pPr>
        <w:pBdr/>
        <w:spacing/>
        <w:rPr/>
      </w:pPr>
      <w:r>
        <w:rPr/>
        <w:t xml:space="preserve">Staff are trained to assist guests with mobility, sensory, or cognitive needs during emergencies. This includes guiding guests with low vision by arm and providing clear, calm instructions. We ensure a staff member stays with the guest throughout the evacuation to offer reassurance and support.</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Service animals are welcome in any cabin as well as public areas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5"/>
        </w:numPr>
        <w:spacing/>
        <w:rPr/>
      </w:pPr>
      <w:r>
        <w:rPr/>
        <w:t xml:space="preserve">A key to any accessible facilities that are locked</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Staff are trained to recognise signs of fatigue and proactively offer seating, water, or alternative arrangements to minimise wait times.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The public transport services available are:</w:t>
      </w:r>
    </w:p>
    <w:p>
      <w:pPr>
        <w:spacing/>
        <w:rPr/>
      </w:pPr>
    </w:p>
    <w:p>
      <w:pPr>
        <w:pBdr/>
        <w:spacing/>
        <w:rPr/>
      </w:pPr>
      <w:r>
        <w:rPr/>
        <w:t xml:space="preserve">Verbal information from reception staff</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No paths with steps within the park</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In addition, the following further information can assist guests:</w:t>
      </w:r>
    </w:p>
    <w:p>
      <w:pPr>
        <w:spacing/>
        <w:rPr/>
      </w:pPr>
      <w:r>
        <w:rPr/>
        <w:t xml:space="preserve">Ramps are fitted with non-slip grip tape to reduce the risk of slipping</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Additional assistive technology, such as hoists, is available for hire and can be delivered by our neighbouring provider, Country Care Mildura.</w:t>
      </w:r>
    </w:p>
    <w:p>
      <w:pPr>
        <w:pStyle w:val="Heading1"/>
        <w:spacing/>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Bedrooms</w:t>
      </w:r>
      <w:bookmarkEnd w:id="24"/>
    </w:p>
    <w:p>
      <w:pPr>
        <w:spacing/>
        <w:rPr/>
      </w:pPr>
      <w:r>
        <w:rPr/>
        <w:t xml:space="preserve">The bedrooms  have the following facilities/amenities in place</w:t>
      </w:r>
    </w:p>
    <w:p>
      <w:pPr>
        <w:pStyle w:val="ListBullet"/>
        <w:numPr>
          <w:ilvl w:val="0"/>
          <w:numId w:val="35"/>
        </w:numPr>
        <w:spacing/>
        <w:rPr/>
      </w:pPr>
      <w:r>
        <w:rPr/>
        <w:t xml:space="preserve">There are 3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527818691_1385598135869274_1194455107568181084_n</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531615505_1831682171075890_7897933686139827787_n</w:t>
      </w:r>
    </w:p>
    <w:p>
      <w:pPr>
        <w:spacing/>
        <w:rPr/>
      </w:pPr>
      <w:r>
        <w:rPr/>
        <w:t xml:space="preserve"> </w:t>
      </w:r>
    </w:p>
    <w:p>
      <w:pPr>
        <w:pStyle w:val="Heading2"/>
        <w:spacing/>
        <w:rPr/>
      </w:pPr>
      <w:bookmarkStart w:id="25" w:name="_Toc0000000021"/>
      <w:r>
        <w:rPr/>
        <w:t xml:space="preserve">Room Amenities</w:t>
      </w:r>
      <w:bookmarkEnd w:id="25"/>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Blocks are available to put under the bed legs</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1270mm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actual height of the toilet seat is 440mm.</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516419858_1427302281717344_7417115654708986264_n</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521153313_1504077120731930_1797531635879845963_n</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528354905_1061178202460237_4571379443533024516_n</w:t>
      </w:r>
    </w:p>
    <w:p>
      <w:pPr>
        <w:pStyle w:val="Heading1"/>
        <w:spacing/>
        <w:rPr/>
      </w:pPr>
      <w:bookmarkStart w:id="27" w:name="_Toc0000000023"/>
      <w:r>
        <w:rPr/>
        <w:t xml:space="preserve">COMMON AREAS</w:t>
      </w:r>
      <w:bookmarkEnd w:id="27"/>
    </w:p>
    <w:p>
      <w:pPr>
        <w:spacing/>
        <w:rPr/>
      </w:pPr>
      <w:r>
        <w:rPr/>
        <w:t xml:space="preserve"> </w:t>
      </w:r>
    </w:p>
    <w:p>
      <w:pPr>
        <w:pStyle w:val="Heading2"/>
        <w:spacing/>
        <w:rPr/>
      </w:pPr>
      <w:bookmarkStart w:id="28" w:name="_Toc0000000024"/>
      <w:r>
        <w:rPr/>
        <w:t xml:space="preserve">Play Spaces</w:t>
      </w:r>
      <w:bookmarkEnd w:id="28"/>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The surface of the play space is of a composite or rubberized material</w:t>
      </w:r>
    </w:p>
    <w:p>
      <w:pPr>
        <w:pStyle w:val="ListBullet"/>
        <w:numPr>
          <w:ilvl w:val="0"/>
          <w:numId w:val="35"/>
        </w:numPr>
        <w:spacing/>
        <w:rPr/>
      </w:pPr>
      <w:r>
        <w:rPr/>
        <w:t xml:space="preserve">The play space contains cognitive play panels</w:t>
      </w:r>
    </w:p>
    <w:p>
      <w:pPr>
        <w:pStyle w:val="ListBullet"/>
        <w:numPr>
          <w:ilvl w:val="0"/>
          <w:numId w:val="35"/>
        </w:numPr>
        <w:spacing/>
        <w:rPr/>
      </w:pPr>
      <w:r>
        <w:rPr/>
        <w:t xml:space="preserve">The play space contains tactile play panels or activities</w:t>
      </w:r>
    </w:p>
    <w:p>
      <w:pPr>
        <w:pStyle w:val="ListBullet"/>
        <w:numPr>
          <w:ilvl w:val="0"/>
          <w:numId w:val="35"/>
        </w:numPr>
        <w:spacing/>
        <w:rPr/>
      </w:pPr>
      <w:r>
        <w:rPr/>
        <w:t xml:space="preserve">The space contain colour contrasting elements</w:t>
      </w:r>
    </w:p>
    <w:p>
      <w:pPr>
        <w:pStyle w:val="ListBullet"/>
        <w:numPr>
          <w:ilvl w:val="0"/>
          <w:numId w:val="35"/>
        </w:numPr>
        <w:spacing/>
        <w:rPr/>
      </w:pPr>
      <w:r>
        <w:rPr/>
        <w:t xml:space="preserve">Seating is provided in or around the play space</w:t>
      </w:r>
    </w:p>
    <w:p>
      <w:pPr>
        <w:spacing/>
        <w:rPr/>
      </w:pPr>
      <w:r>
        <w:rPr/>
        <w:t xml:space="preserve"> </w:t>
      </w:r>
    </w:p>
    <w:p>
      <w:pPr>
        <w:pStyle w:val="Heading2"/>
        <w:spacing/>
        <w:rPr/>
      </w:pPr>
      <w:bookmarkStart w:id="29" w:name="_Toc0000000025"/>
      <w:r>
        <w:rPr/>
        <w:t xml:space="preserve">Swimming pools, spas and waterparks</w:t>
      </w:r>
      <w:bookmarkEnd w:id="29"/>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Unisex change facilities with an accessible toilet</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327BC8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