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Moonlit Sanctuary Wildlife Conservation Park</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550 Tyabb-Tooradin Rd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Pearcedale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Michael Johnson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03 5978 7935</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michael@moonlit-sanctuary.com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https://moonlitsanctuary.com.au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2026-09-11 18:19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Ramps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Attractions Basics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Zoos and Wildlife Parks</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_Toc0000000021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_Toc0000000022 \h</w:instrText>
          </w:r>
          <w:r>
            <w:rPr/>
            <w:fldChar w:fldCharType="separate"/>
          </w:r>
          <w:r>
            <w:rPr/>
            <w:t xml:space="preserve">16</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5969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5969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Communications</w:t>
      </w:r>
      <w:bookmarkEnd w:id="8"/>
    </w:p>
    <w:p>
      <w:pPr>
        <w:pStyle w:val="ListBullet"/>
        <w:numPr>
          <w:ilvl w:val="0"/>
          <w:numId w:val="35"/>
        </w:numPr>
        <w:spacing/>
        <w:rPr/>
      </w:pPr>
      <w:r>
        <w:rPr/>
        <w:t xml:space="preserve">An accessibility guide is available on the website</w:t>
      </w:r>
    </w:p>
    <w:p>
      <w:pPr>
        <w:spacing/>
        <w:rPr/>
      </w:pPr>
    </w:p>
    <w:p>
      <w:pPr>
        <w:pBdr/>
        <w:spacing/>
        <w:rPr/>
      </w:pPr>
      <w:r>
        <w:rPr/>
        <w:t xml:space="preserve">https://moonlitsanctuary.com.au/visit/accessibility/ https://moonlitsanctuary.com.au/visit/inclusive-resources/  https://moonlitsanctuary.com.au/wp-content/uploads/2023/11/visual-story.pdf</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We use a a plugin on our website called "ALLY". It can be accessed from any page and can be used to present the website in various forms, such as increasing the size of the text, light background. increase text size, high contrast, negative contrast, or change font.</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No services are offered for service animals. Admission is allowed however it is discouraged as bringing a service animal with the guest would severely degrade the guest experience.</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spacing/>
        <w:rPr/>
      </w:pPr>
    </w:p>
    <w:p>
      <w:pPr>
        <w:pBdr/>
        <w:spacing/>
        <w:rPr/>
      </w:pPr>
      <w:r>
        <w:rPr/>
        <w:t xml:space="preserve">We have a Visual Story online available to download in large print.  Staff can identify visitors with disabilities and take them through admissions.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Long wait times are exceptional at admissions as the admission process is swift. Staff can identify people with a disability and bring them forward.</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A space for parents and children on the Autism Spectrum</w:t>
      </w:r>
    </w:p>
    <w:p>
      <w:pPr>
        <w:pStyle w:val="ListBullet"/>
        <w:numPr>
          <w:ilvl w:val="0"/>
          <w:numId w:val="35"/>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In addition, the following further information can assist guests:</w:t>
      </w:r>
    </w:p>
    <w:p>
      <w:pPr>
        <w:spacing/>
        <w:rPr/>
      </w:pPr>
      <w:r>
        <w:rPr/>
        <w:t xml:space="preserve">Moonlit Sanctuary car park is not gated.</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We have quieter spaces. These can be identified from the Visual Story which can be downloaded from our website.</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8" w:name="_Toc0000000014"/>
      <w:r>
        <w:rPr/>
        <w:t xml:space="preserve">Displays, exhibits, commentary and live performances</w:t>
      </w:r>
      <w:bookmarkEnd w:id="18"/>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In addition, the following further information can assist guests:</w:t>
      </w:r>
    </w:p>
    <w:p>
      <w:pPr>
        <w:spacing/>
        <w:rPr/>
      </w:pPr>
      <w:r>
        <w:rPr/>
        <w:t xml:space="preserve">Visually impared guests are catered</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There are no steps or stairs in public areas at Moonlit Sanctuary</w:t>
      </w:r>
    </w:p>
    <w:p>
      <w:pPr>
        <w:spacing/>
        <w:rPr/>
      </w:pPr>
    </w:p>
    <w:p>
      <w:pPr>
        <w:pBdr/>
        <w:spacing/>
        <w:rPr/>
      </w:pPr>
      <w:r>
        <w:rPr/>
        <w:t xml:space="preserve">There are no steps or stairs in public areas at Moonlit Sanctuary</w:t>
      </w:r>
    </w:p>
    <w:p>
      <w:pPr>
        <w:pStyle w:val="ListBullet"/>
        <w:numPr>
          <w:ilvl w:val="0"/>
          <w:numId w:val="35"/>
        </w:numPr>
        <w:spacing/>
        <w:rPr/>
      </w:pPr>
      <w:r>
        <w:rPr/>
        <w:t xml:space="preserve">In addition, the following further information can assist guests:</w:t>
      </w:r>
    </w:p>
    <w:p>
      <w:pPr>
        <w:spacing/>
        <w:rPr/>
      </w:pPr>
      <w:r>
        <w:rPr/>
        <w:t xml:space="preserve">There are no steps or stairs in public areas at Moonlit Sanctuary</w:t>
      </w:r>
    </w:p>
    <w:p>
      <w:pPr>
        <w:pStyle w:val="ListBullet"/>
        <w:numPr>
          <w:ilvl w:val="0"/>
          <w:numId w:val="35"/>
        </w:numPr>
        <w:spacing/>
        <w:rPr/>
      </w:pPr>
      <w:r>
        <w:rPr/>
        <w:t xml:space="preserve">In addition, the following further information can assist guests:</w:t>
      </w:r>
    </w:p>
    <w:p>
      <w:pPr>
        <w:spacing/>
        <w:rPr/>
      </w:pPr>
      <w:r>
        <w:rPr/>
        <w:t xml:space="preserve">There are no steps or stairs in public areas at Moonlit Sanctuary</w:t>
      </w:r>
    </w:p>
    <w:p>
      <w:pPr>
        <w:spacing/>
        <w:rPr/>
      </w:pPr>
      <w:r>
        <w:rPr/>
        <w:t xml:space="preserve"> </w:t>
      </w:r>
    </w:p>
    <w:p>
      <w:pPr>
        <w:pStyle w:val="Heading2"/>
        <w:spacing/>
        <w:rPr/>
      </w:pPr>
      <w:bookmarkStart w:id="20" w:name="_Toc0000000016"/>
      <w:r>
        <w:rPr/>
        <w:t xml:space="preserve">Ramps</w:t>
      </w:r>
      <w:bookmarkEnd w:id="20"/>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Ramps have a raised edge of at least 100mm</w:t>
      </w:r>
    </w:p>
    <w:p>
      <w:pPr>
        <w:pStyle w:val="ListBullet"/>
        <w:numPr>
          <w:ilvl w:val="0"/>
          <w:numId w:val="35"/>
        </w:numPr>
        <w:spacing/>
        <w:rPr/>
      </w:pPr>
      <w:r>
        <w:rPr/>
        <w:t xml:space="preserve">In addition, the following further information can assist guests:</w:t>
      </w:r>
    </w:p>
    <w:p>
      <w:pPr>
        <w:spacing/>
        <w:rPr/>
      </w:pPr>
      <w:r>
        <w:rPr/>
        <w:t xml:space="preserve">Moonlit Sanctuary does not have ramps longer than 10 metres.</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2" w:name="_Toc0000000018"/>
      <w:r>
        <w:rPr/>
        <w:t xml:space="preserve">ATTRACTIONS</w:t>
      </w:r>
      <w:bookmarkEnd w:id="22"/>
    </w:p>
    <w:p>
      <w:pPr>
        <w:spacing/>
        <w:rPr/>
      </w:pPr>
      <w:r>
        <w:rPr/>
        <w:t xml:space="preserve"> </w:t>
      </w:r>
    </w:p>
    <w:p>
      <w:pPr>
        <w:pStyle w:val="Heading2"/>
        <w:spacing/>
        <w:rPr/>
      </w:pPr>
      <w:bookmarkStart w:id="23" w:name="_Toc0000000019"/>
      <w:r>
        <w:rPr/>
        <w:t xml:space="preserve">Attractions Basics</w:t>
      </w:r>
      <w:bookmarkEnd w:id="23"/>
    </w:p>
    <w:p>
      <w:pPr>
        <w:pStyle w:val="ListBullet"/>
        <w:numPr>
          <w:ilvl w:val="0"/>
          <w:numId w:val="35"/>
        </w:numPr>
        <w:spacing/>
        <w:rPr/>
      </w:pPr>
      <w:r>
        <w:rPr/>
        <w:t xml:space="preserve">A park map is available here:</w:t>
      </w:r>
    </w:p>
    <w:p>
      <w:pPr>
        <w:spacing/>
        <w:rPr/>
      </w:pPr>
    </w:p>
    <w:p>
      <w:pPr>
        <w:pBdr/>
        <w:spacing/>
        <w:rPr/>
      </w:pPr>
      <w:r>
        <w:rPr/>
        <w:t xml:space="preserve">https://moonlitsanctuary.com.au/visit/park-map/</w:t>
      </w:r>
    </w:p>
    <w:p>
      <w:pPr>
        <w:spacing/>
        <w:rPr/>
      </w:pPr>
      <w:r>
        <w:rPr/>
        <w:t xml:space="preserve"> </w:t>
      </w:r>
    </w:p>
    <w:p>
      <w:pPr>
        <w:pStyle w:val="Heading2"/>
        <w:spacing/>
        <w:rPr/>
      </w:pPr>
      <w:bookmarkStart w:id="24" w:name="_Toc0000000020"/>
      <w:r>
        <w:rPr/>
        <w:t xml:space="preserve">Zoos and Wildlife Parks</w:t>
      </w:r>
      <w:bookmarkEnd w:id="24"/>
    </w:p>
    <w:p>
      <w:pPr>
        <w:pStyle w:val="ListBullet"/>
        <w:numPr>
          <w:ilvl w:val="0"/>
          <w:numId w:val="35"/>
        </w:numPr>
        <w:spacing/>
        <w:rPr/>
      </w:pPr>
      <w:r>
        <w:rPr/>
        <w:t xml:space="preserve">Guide and service dogs are welcome</w:t>
      </w:r>
    </w:p>
    <w:p>
      <w:pPr>
        <w:pStyle w:val="ListBullet"/>
        <w:numPr>
          <w:ilvl w:val="0"/>
          <w:numId w:val="35"/>
        </w:numPr>
        <w:spacing/>
        <w:rPr/>
      </w:pPr>
      <w:r>
        <w:rPr/>
        <w:t xml:space="preserve">In addition, the following further information can assist guests:</w:t>
      </w:r>
    </w:p>
    <w:p>
      <w:pPr>
        <w:spacing/>
        <w:rPr/>
      </w:pPr>
      <w:r>
        <w:rPr/>
        <w:t xml:space="preserve">Excluded from walk-through areas and aviaries, and encounters. We advise visitors not to bring guide dogs, if possible, as one of the features of Moonlit Sanctuary is the ability to get close to animals and even touch some animals, and this is not possible if a dog is around.</w:t>
      </w:r>
    </w:p>
    <w:p>
      <w:pPr>
        <w:pStyle w:val="ListBullet"/>
        <w:numPr>
          <w:ilvl w:val="0"/>
          <w:numId w:val="35"/>
        </w:numPr>
        <w:spacing/>
        <w:rPr/>
      </w:pPr>
      <w:r>
        <w:rPr/>
        <w:t xml:space="preserve">Displays have glass or mesh viewing panels for children or people seated in wheelchairs</w:t>
      </w:r>
    </w:p>
    <w:p>
      <w:pPr>
        <w:pStyle w:val="ListBullet"/>
        <w:numPr>
          <w:ilvl w:val="0"/>
          <w:numId w:val="35"/>
        </w:numPr>
        <w:spacing/>
        <w:rPr/>
      </w:pPr>
      <w:r>
        <w:rPr/>
        <w:t xml:space="preserve">Signage is positioned between 800mm and 1200mm above the ground</w:t>
      </w:r>
    </w:p>
    <w:p>
      <w:pPr>
        <w:pStyle w:val="ListBullet"/>
        <w:numPr>
          <w:ilvl w:val="0"/>
          <w:numId w:val="35"/>
        </w:numPr>
        <w:spacing/>
        <w:rPr/>
      </w:pPr>
      <w:r>
        <w:rPr/>
        <w:t xml:space="preserve">Signage is in a font larger than 18 point</w:t>
      </w:r>
    </w:p>
    <w:p>
      <w:pPr>
        <w:pStyle w:val="ListBullet"/>
        <w:numPr>
          <w:ilvl w:val="0"/>
          <w:numId w:val="35"/>
        </w:numPr>
        <w:spacing/>
        <w:rPr/>
      </w:pPr>
      <w:r>
        <w:rPr/>
        <w:t xml:space="preserve">Signage and information provide pictorial information</w:t>
      </w:r>
    </w:p>
    <w:p>
      <w:pPr>
        <w:pStyle w:val="ListBullet"/>
        <w:numPr>
          <w:ilvl w:val="0"/>
          <w:numId w:val="35"/>
        </w:numPr>
        <w:spacing/>
        <w:rPr/>
      </w:pPr>
      <w:r>
        <w:rPr/>
        <w:t xml:space="preserve">In addition, the following further information can assist guests:</w:t>
      </w:r>
    </w:p>
    <w:p>
      <w:pPr>
        <w:spacing/>
        <w:rPr/>
      </w:pPr>
      <w:r>
        <w:rPr/>
        <w:t xml:space="preserve">Keeper talks throughout the day.</w:t>
      </w:r>
    </w:p>
    <w:p>
      <w:pPr>
        <w:pStyle w:val="ListBullet"/>
        <w:numPr>
          <w:ilvl w:val="0"/>
          <w:numId w:val="35"/>
        </w:numPr>
        <w:spacing/>
        <w:rPr/>
      </w:pPr>
      <w:r>
        <w:rPr/>
        <w:t xml:space="preserve">Seating is provided at regular intervals</w:t>
      </w:r>
    </w:p>
    <w:p>
      <w:pPr>
        <w:pStyle w:val="ListBullet"/>
        <w:numPr>
          <w:ilvl w:val="0"/>
          <w:numId w:val="35"/>
        </w:numPr>
        <w:spacing/>
        <w:rPr/>
      </w:pPr>
      <w:r>
        <w:rPr/>
        <w:t xml:space="preserve">Aviaries and other enclosures provide level access</w:t>
      </w:r>
    </w:p>
    <w:p>
      <w:pPr>
        <w:pStyle w:val="ListBullet"/>
        <w:numPr>
          <w:ilvl w:val="0"/>
          <w:numId w:val="35"/>
        </w:numPr>
        <w:spacing/>
        <w:rPr/>
      </w:pPr>
      <w:r>
        <w:rPr/>
        <w:t xml:space="preserve">Airlocks provide sufficient room for a wheelchair</w:t>
      </w:r>
    </w:p>
    <w:p>
      <w:pPr>
        <w:pStyle w:val="Subtitle"/>
        <w:spacing/>
        <w:rPr/>
      </w:pPr>
      <w:r>
        <w:rPr/>
        <w:t xml:space="preserve">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5afc37d7-9b85-491b-b447-727deb95a9fa</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8f9c33d1-a3e7-425d-8192-664df1def79d</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63b62ec5-9310-49ee-a71c-2c5519f90539</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43881b80-14d5-4664-ac53-3f7ae6215480</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126331ef-eeeb-4536-83f5-c516e17309b5</w:t>
      </w:r>
    </w:p>
    <w:p>
      <w:pPr>
        <w:spacing/>
        <w:rPr/>
      </w:pPr>
      <w:r>
        <w:rPr/>
        <w:drawing>
          <wp:inline>
            <wp:extent cx="2540000" cy="1905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905000"/>
                    </a:xfrm>
                    <a:prstGeom prst="rect">
                      <a:avLst/>
                    </a:prstGeom>
                  </pic:spPr>
                </pic:pic>
              </a:graphicData>
            </a:graphic>
          </wp:inline>
        </w:drawing>
      </w:r>
    </w:p>
    <w:p>
      <w:pPr>
        <w:spacing/>
        <w:rPr/>
      </w:pPr>
      <w:r>
        <w:rPr/>
        <w:t xml:space="preserve">736723f9-9d4a-494a-93c3-07fdd2dc2577</w:t>
      </w:r>
    </w:p>
    <w:p>
      <w:pPr>
        <w:spacing/>
        <w:rPr/>
      </w:pPr>
      <w:r>
        <w:rPr/>
        <w:drawing>
          <wp:inline>
            <wp:extent cx="1905000" cy="2540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1905000" cy="2540000"/>
                    </a:xfrm>
                    <a:prstGeom prst="rect">
                      <a:avLst/>
                    </a:prstGeom>
                  </pic:spPr>
                </pic:pic>
              </a:graphicData>
            </a:graphic>
          </wp:inline>
        </w:drawing>
      </w:r>
    </w:p>
    <w:p>
      <w:pPr>
        <w:spacing/>
        <w:rPr/>
      </w:pPr>
      <w:r>
        <w:rPr/>
        <w:t xml:space="preserve">26241270-fb97-4c7a-9c2e-048b1d0ebce5</w:t>
      </w:r>
    </w:p>
    <w:p>
      <w:pPr>
        <w:spacing/>
        <w:rPr/>
      </w:pPr>
      <w:r>
        <w:rPr/>
        <w:drawing>
          <wp:inline>
            <wp:extent cx="1950720" cy="146304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1950720" cy="1463040"/>
                    </a:xfrm>
                    <a:prstGeom prst="rect">
                      <a:avLst/>
                    </a:prstGeom>
                  </pic:spPr>
                </pic:pic>
              </a:graphicData>
            </a:graphic>
          </wp:inline>
        </w:drawing>
      </w:r>
    </w:p>
    <w:p>
      <w:pPr>
        <w:spacing/>
        <w:rPr/>
      </w:pPr>
      <w:r>
        <w:rPr/>
        <w:t xml:space="preserve">aa616472-444b-41dc-be50-c2546b695209</w:t>
      </w:r>
    </w:p>
    <w:p>
      <w:pPr>
        <w:spacing/>
        <w:rPr/>
      </w:pPr>
      <w:r>
        <w:rPr/>
        <w:drawing>
          <wp:inline>
            <wp:extent cx="2540000" cy="1905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905000"/>
                    </a:xfrm>
                    <a:prstGeom prst="rect">
                      <a:avLst/>
                    </a:prstGeom>
                  </pic:spPr>
                </pic:pic>
              </a:graphicData>
            </a:graphic>
          </wp:inline>
        </w:drawing>
      </w:r>
    </w:p>
    <w:p>
      <w:pPr>
        <w:spacing/>
        <w:rPr/>
      </w:pPr>
      <w:r>
        <w:rPr/>
        <w:t xml:space="preserve">aae42f55-a25d-4755-9ac7-435b4236e657</w:t>
      </w:r>
    </w:p>
    <w:p>
      <w:pPr>
        <w:spacing/>
        <w:rPr/>
      </w:pPr>
      <w:r>
        <w:rPr/>
        <w:drawing>
          <wp:inline>
            <wp:extent cx="2540000" cy="1905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2540000" cy="1905000"/>
                    </a:xfrm>
                    <a:prstGeom prst="rect">
                      <a:avLst/>
                    </a:prstGeom>
                  </pic:spPr>
                </pic:pic>
              </a:graphicData>
            </a:graphic>
          </wp:inline>
        </w:drawing>
      </w:r>
    </w:p>
    <w:p>
      <w:pPr>
        <w:spacing/>
        <w:rPr/>
      </w:pPr>
      <w:r>
        <w:rPr/>
        <w:t xml:space="preserve">cecb271b-c7ca-4301-b805-c98827ea8fb4</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5" w:name="_Toc0000000021"/>
      <w:r>
        <w:rPr/>
        <w:t xml:space="preserve">COMMON AREAS</w:t>
      </w:r>
      <w:bookmarkEnd w:id="25"/>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6" w:name="_Toc0000000022"/>
      <w:r>
        <w:rPr/>
        <w:t xml:space="preserve">Report Disclaimer</w:t>
      </w:r>
      <w:bookmarkEnd w:id="2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AE8A746"/>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3" Type="http://schemas.openxmlformats.org/officeDocument/2006/relationships/styles" Target="styles.xml" /><Relationship Id="rId14" Type="http://schemas.openxmlformats.org/officeDocument/2006/relationships/settings" Target="settings.xml" /><Relationship Id="rId15" Type="http://schemas.openxmlformats.org/officeDocument/2006/relationships/theme" Target="theme/theme1.xml" /><Relationship Id="rId16" Type="http://schemas.openxmlformats.org/officeDocument/2006/relationships/numbering" Target="numbering.xml" /><Relationship Id="rId1" Type="http://schemas.openxmlformats.org/officeDocument/2006/relationships/footer" Target="footer1.xml" /><Relationship Id="rId17"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customXml" Target="../customXml/item3.xml" /><Relationship Id="rId2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