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Woolmers Estate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658 Woolmers</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Longford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Jennifer  Allan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03 6391 2230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enquiries@woolmers.com.au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www.woolmers.com.au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2026-10-28 20:14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_Toc0000000023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_Toc0000000026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_Toc0000000027 \h</w:instrText>
          </w:r>
          <w:r>
            <w:rPr/>
            <w:fldChar w:fldCharType="separate"/>
          </w:r>
          <w:r>
            <w:rPr/>
            <w:t xml:space="preserve">20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EVENTS</w:t>
          </w:r>
          <w:r>
            <w:rPr/>
            <w:tab/>
            <w:t xml:space="preserve"/>
          </w:r>
          <w:r>
            <w:rPr/>
            <w:fldChar w:fldCharType="begin"/>
          </w:r>
          <w:r>
            <w:rPr/>
            <w:instrText xml:space="preserve">PAGEREF _Toc0000000028 \h</w:instrText>
          </w:r>
          <w:r>
            <w:rPr/>
            <w:fldChar w:fldCharType="separate"/>
          </w:r>
          <w:r>
            <w:rPr/>
            <w:t xml:space="preserve">23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Events</w:t>
          </w:r>
          <w:r>
            <w:rPr/>
            <w:tab/>
            <w:t xml:space="preserve"/>
          </w:r>
          <w:r>
            <w:rPr/>
            <w:fldChar w:fldCharType="begin"/>
          </w:r>
          <w:r>
            <w:rPr/>
            <w:instrText xml:space="preserve">PAGEREF _Toc0000000029 \h</w:instrText>
          </w:r>
          <w:r>
            <w:rPr/>
            <w:fldChar w:fldCharType="separate"/>
          </w:r>
          <w:r>
            <w:rPr/>
            <w:t xml:space="preserve">23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_Toc0000000030 \h</w:instrText>
          </w:r>
          <w:r>
            <w:rPr/>
            <w:fldChar w:fldCharType="separate"/>
          </w:r>
          <w:r>
            <w:rPr/>
            <w:t xml:space="preserve">25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9650076" cy="19650076"/>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9650076" cy="19650076"/>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Housekeeping, grounds keeping and restaurant staff all monitor exits.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Notes are added to bookings (accommodation and tours) and WhatsApp messages are sent for all staff on duty.</w:t>
      </w:r>
    </w:p>
    <w:p>
      <w:pPr>
        <w:pStyle w:val="ListBullet"/>
        <w:numPr>
          <w:ilvl w:val="0"/>
          <w:numId w:val="35"/>
        </w:numPr>
        <w:spacing/>
        <w:rPr/>
      </w:pPr>
      <w:r>
        <w:rPr/>
        <w:t xml:space="preserve">In addition, the following further information can assist guests:</w:t>
      </w:r>
    </w:p>
    <w:p>
      <w:pPr>
        <w:spacing/>
        <w:rPr/>
      </w:pPr>
      <w:r>
        <w:rPr/>
        <w:t xml:space="preserve">Groundskeeper, housekeeper or restaurant staff to assist and call duty manager or general manager if further assistance is required.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Water bowls at each cafe space on site. Outside eating areas at each cafe space.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We do not require any ticket or registration forms to be completed</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There are no wait times at this attraction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Automatic doors at entrance of Visitor Centre. Disability parking with wide concrete path connects car park to entrance of centre.</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Automatic doors at entrance of Visitor Centre. Disability parking with wide concrete path connects car park to entrance of centre.</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spacing/>
        <w:rPr/>
      </w:pPr>
      <w:r>
        <w:rPr/>
        <w:t xml:space="preserve">The width of the smallest corridor is: </w:t>
      </w:r>
    </w:p>
    <w:p>
      <w:pPr>
        <w:pBdr/>
        <w:spacing/>
        <w:rPr/>
      </w:pPr>
      <w:r>
        <w:rPr/>
        <w:t xml:space="preserve">Corridors within the heritage homestead only 135cm wide</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Some of the exhibition displays (Unshackled audio-visual content) are open captioned.</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Some of the exhibition displays (Unshackled audio-visual content) are open captioned.</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Maps provided by staff and routes through facility all discussed by staff at entrance. Accessible routes, points or particular interest, house viewing times and alternate parking and transport routes are all provided by staff.</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Heritage buildings onsite. Buildings have 3 steps or less to access the building, however there are longer sets of internal stairs within the Homestead Courtyard and the Woolshed which are longer.</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Baby changing facilities and accessible toilet available at the Visitor Entrance (Nigel Peck Centre)</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Openings are a minimum of 720mm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In addition, the following further information can assist guests:</w:t>
      </w:r>
    </w:p>
    <w:p>
      <w:pPr>
        <w:spacing/>
        <w:rPr/>
      </w:pPr>
      <w:r>
        <w:rPr/>
        <w:t xml:space="preserve">6 cottages on site with similar but slightly different lay outs. Only one cottage is single level (Gardeners Cottage). All other cottages have a set of internal stairs up to the bedroom.</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720mm.</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Gardeners Cottage Bathroom Layout</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Gardeners Cottage Shower</w:t>
      </w:r>
    </w:p>
    <w:p>
      <w:pPr>
        <w:pStyle w:val="ListBullet"/>
        <w:numPr>
          <w:ilvl w:val="0"/>
          <w:numId w:val="35"/>
        </w:numPr>
        <w:spacing/>
        <w:rPr/>
      </w:pPr>
      <w:r>
        <w:rPr/>
        <w:t xml:space="preserve">In addition, the following further information can assist guests:</w:t>
      </w:r>
    </w:p>
    <w:p>
      <w:pPr>
        <w:spacing/>
        <w:rPr/>
      </w:pPr>
      <w:r>
        <w:rPr/>
        <w:t xml:space="preserve">6 cottages on site with similar but slightly different lay outs. Only one cottage is single level (Gardeners Cottage). All other cottages have a set of internal stairs up to the bedroom. </w:t>
      </w:r>
    </w:p>
    <w:p>
      <w:pPr>
        <w:pStyle w:val="Heading1"/>
        <w:spacing/>
        <w:rPr/>
      </w:pPr>
      <w:bookmarkStart w:id="26" w:name="_Toc0000000022"/>
      <w:r>
        <w:rPr/>
        <w:t xml:space="preserve">ATTRACTIONS</w:t>
      </w:r>
      <w:bookmarkEnd w:id="26"/>
    </w:p>
    <w:p>
      <w:pPr>
        <w:spacing/>
        <w:rPr/>
      </w:pPr>
      <w:r>
        <w:rPr/>
        <w:t xml:space="preserve"> </w:t>
      </w:r>
    </w:p>
    <w:p>
      <w:pPr>
        <w:pStyle w:val="Heading2"/>
        <w:spacing/>
        <w:rPr/>
      </w:pPr>
      <w:bookmarkStart w:id="27" w:name="_Toc0000000023"/>
      <w:r>
        <w:rPr/>
        <w:t xml:space="preserve">Attractions Basics</w:t>
      </w:r>
      <w:bookmarkEnd w:id="27"/>
    </w:p>
    <w:p>
      <w:pPr>
        <w:pStyle w:val="ListBullet"/>
        <w:numPr>
          <w:ilvl w:val="0"/>
          <w:numId w:val="35"/>
        </w:numPr>
        <w:spacing/>
        <w:rPr/>
      </w:pPr>
      <w:r>
        <w:rPr/>
        <w:t xml:space="preserve">A park map is available here:</w:t>
      </w:r>
    </w:p>
    <w:p>
      <w:pPr>
        <w:spacing/>
        <w:rPr/>
      </w:pPr>
    </w:p>
    <w:p>
      <w:pPr>
        <w:pBdr/>
        <w:spacing/>
        <w:rPr/>
      </w:pPr>
      <w:r>
        <w:rPr/>
        <w:t xml:space="preserve">https://www.woolmers.com.au/visit/</w:t>
      </w:r>
    </w:p>
    <w:p>
      <w:pPr>
        <w:pStyle w:val="Heading1"/>
        <w:spacing/>
        <w:rPr/>
      </w:pPr>
      <w:bookmarkStart w:id="28" w:name="_Toc0000000024"/>
      <w:r>
        <w:rPr/>
        <w:t xml:space="preserve">COMMON AREAS</w:t>
      </w:r>
      <w:bookmarkEnd w:id="28"/>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The park or garden contains  sensory experiences</w:t>
      </w:r>
    </w:p>
    <w:p>
      <w:pPr>
        <w:pStyle w:val="Subtitle"/>
        <w:spacing/>
        <w:rPr/>
      </w:pPr>
      <w:r>
        <w:rPr/>
        <w:t xml:space="preserve">Parks and Gardens Access/Entry Image(s)</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Nigel Peck Centre Exhibition</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NPC Ticket counter</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NPC Toilet entry</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RG Cafe entry</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Toilet entrance</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Toilet fit out</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Toilet sign</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Toilet sink</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NPC Entry</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NPC Parking</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RG Cafe counter</w:t>
      </w:r>
    </w:p>
    <w:p>
      <w:pPr>
        <w:pStyle w:val="ListBullet"/>
        <w:numPr>
          <w:ilvl w:val="0"/>
          <w:numId w:val="35"/>
        </w:numPr>
        <w:spacing/>
        <w:rPr/>
      </w:pPr>
      <w:r>
        <w:rPr/>
        <w:t xml:space="preserve">Slip resistance surfaces are used.</w:t>
      </w:r>
    </w:p>
    <w:p>
      <w:pPr>
        <w:pStyle w:val="Subtitle"/>
        <w:spacing/>
        <w:rPr/>
      </w:pPr>
      <w:r>
        <w:rPr/>
        <w:t xml:space="preserve">Parks and Gardens Stair entry and exit Image(s)</w:t>
      </w:r>
    </w:p>
    <w:p>
      <w:pPr>
        <w:spacing/>
        <w:rPr/>
      </w:pPr>
      <w:r>
        <w:rPr/>
        <w:drawing>
          <wp:inline>
            <wp:extent cx="1905000" cy="2540000"/>
            <wp:docPr id="15"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NPC Entry</w:t>
      </w:r>
    </w:p>
    <w:p>
      <w:pPr>
        <w:pStyle w:val="Heading1"/>
        <w:spacing/>
        <w:rPr/>
      </w:pPr>
      <w:bookmarkStart w:id="30" w:name="_Toc0000000026"/>
      <w:r>
        <w:rPr/>
        <w:t xml:space="preserve">FOOD AND DRINK</w:t>
      </w:r>
      <w:bookmarkEnd w:id="30"/>
    </w:p>
    <w:p>
      <w:pPr>
        <w:spacing/>
        <w:rPr/>
      </w:pPr>
      <w:r>
        <w:rPr/>
        <w:t xml:space="preserve"> </w:t>
      </w:r>
    </w:p>
    <w:p>
      <w:pPr>
        <w:pStyle w:val="Heading2"/>
        <w:spacing/>
        <w:rPr/>
      </w:pPr>
      <w:bookmarkStart w:id="31" w:name="_Toc0000000027"/>
      <w:r>
        <w:rPr/>
        <w:t xml:space="preserve">Dining Spaces</w:t>
      </w:r>
      <w:bookmarkEnd w:id="31"/>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In addition, the following further information can assist guests:</w:t>
      </w:r>
    </w:p>
    <w:p>
      <w:pPr>
        <w:spacing/>
        <w:rPr/>
      </w:pPr>
      <w:r>
        <w:rPr/>
        <w:t xml:space="preserve">All staff trained in safe food handling. Cafe Manager ensures all restaurant staff adhere to all safe food storage, handling and preparation standards. Refrigeration, freezers, dishwashers and ovens are all maintained regularly to ensure they are operating at required levels. Temperatures of fridges, display cases etc are all recorded daily. Cleaning protocols are monitored by Cafe Manager.</w:t>
      </w:r>
    </w:p>
    <w:p>
      <w:pPr>
        <w:pBdr/>
        <w:spacing/>
        <w:rPr/>
      </w:pPr>
    </w:p>
    <w:p>
      <w:pPr>
        <w:pBdr/>
        <w:spacing/>
        <w:rPr/>
      </w:pP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https://www.woolmers.com.au/rose-garden-cafe/</w:t>
      </w:r>
    </w:p>
    <w:p>
      <w:pPr>
        <w:pStyle w:val="Subtitle"/>
        <w:spacing/>
        <w:rPr/>
      </w:pPr>
      <w:r>
        <w:rPr/>
        <w:t xml:space="preserve">Food and Beverage Image(s)</w:t>
      </w:r>
    </w:p>
    <w:p>
      <w:pPr>
        <w:spacing/>
        <w:rPr/>
      </w:pPr>
      <w:r>
        <w:rPr/>
        <w:drawing>
          <wp:inline>
            <wp:extent cx="1905000" cy="2540000"/>
            <wp:docPr id="16"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Outside seating RG Cafe</w:t>
      </w:r>
    </w:p>
    <w:p>
      <w:pPr>
        <w:spacing/>
        <w:rPr/>
      </w:pPr>
      <w:r>
        <w:rPr/>
        <w:drawing>
          <wp:inline>
            <wp:extent cx="1905000" cy="2540000"/>
            <wp:docPr id="1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RG Cafe entry</w:t>
      </w:r>
    </w:p>
    <w:p>
      <w:pPr>
        <w:spacing/>
        <w:rPr/>
      </w:pPr>
      <w:r>
        <w:rPr/>
        <w:drawing>
          <wp:inline>
            <wp:extent cx="1905000" cy="2540000"/>
            <wp:docPr id="18"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05000" cy="2540000"/>
                    </a:xfrm>
                    <a:prstGeom prst="rect">
                      <a:avLst/>
                    </a:prstGeom>
                  </pic:spPr>
                </pic:pic>
              </a:graphicData>
            </a:graphic>
          </wp:inline>
        </w:drawing>
      </w:r>
    </w:p>
    <w:p>
      <w:pPr>
        <w:spacing/>
        <w:rPr/>
      </w:pPr>
      <w:r>
        <w:rPr/>
        <w:t xml:space="preserve">RG Cafe winter seating</w:t>
      </w:r>
    </w:p>
    <w:p>
      <w:pPr>
        <w:spacing/>
        <w:rPr/>
      </w:pPr>
      <w:r>
        <w:rPr/>
        <w:drawing>
          <wp:inline>
            <wp:extent cx="1905000" cy="2540000"/>
            <wp:docPr id="19"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1905000" cy="2540000"/>
                    </a:xfrm>
                    <a:prstGeom prst="rect">
                      <a:avLst/>
                    </a:prstGeom>
                  </pic:spPr>
                </pic:pic>
              </a:graphicData>
            </a:graphic>
          </wp:inline>
        </w:drawing>
      </w:r>
    </w:p>
    <w:p>
      <w:pPr>
        <w:spacing/>
        <w:rPr/>
      </w:pPr>
      <w:r>
        <w:rPr/>
        <w:t xml:space="preserve">Rose Garden entry</w:t>
      </w:r>
    </w:p>
    <w:p>
      <w:pPr>
        <w:spacing/>
        <w:rPr/>
      </w:pPr>
      <w:r>
        <w:rPr/>
        <w:drawing>
          <wp:inline>
            <wp:extent cx="2540000" cy="1905000"/>
            <wp:docPr id="20"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RG Cafe counter</w:t>
      </w:r>
    </w:p>
    <w:p>
      <w:pPr>
        <w:pStyle w:val="Heading1"/>
        <w:spacing/>
        <w:rPr/>
      </w:pPr>
      <w:bookmarkStart w:id="32" w:name="_Toc0000000028"/>
      <w:r>
        <w:rPr/>
        <w:t xml:space="preserve">EVENTS</w:t>
      </w:r>
      <w:bookmarkEnd w:id="32"/>
    </w:p>
    <w:p>
      <w:pPr>
        <w:spacing/>
        <w:rPr/>
      </w:pPr>
      <w:r>
        <w:rPr/>
        <w:t xml:space="preserve"> </w:t>
      </w:r>
    </w:p>
    <w:p>
      <w:pPr>
        <w:pStyle w:val="Heading2"/>
        <w:spacing/>
        <w:rPr/>
      </w:pPr>
      <w:bookmarkStart w:id="33" w:name="_Toc0000000029"/>
      <w:r>
        <w:rPr/>
        <w:t xml:space="preserve">Events</w:t>
      </w:r>
      <w:bookmarkEnd w:id="33"/>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Intra venue transport</w:t>
      </w:r>
    </w:p>
    <w:p>
      <w:pPr>
        <w:pStyle w:val="ListBullet"/>
        <w:numPr>
          <w:ilvl w:val="0"/>
          <w:numId w:val="35"/>
        </w:numPr>
        <w:spacing/>
        <w:rPr/>
      </w:pPr>
      <w:r>
        <w:rPr/>
        <w:t xml:space="preserve">Intra venue transport is wheelchair accessible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Unshacked exhibition provides verbal commentary on all video content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4" w:name="_Toc0000000030"/>
      <w:r>
        <w:rPr/>
        <w:t xml:space="preserve">Report Disclaimer</w:t>
      </w:r>
      <w:bookmarkEnd w:id="3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648024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9" Type="http://schemas.openxmlformats.org/officeDocument/2006/relationships/styles" Target="styles.xml" /><Relationship Id="rId20" Type="http://schemas.openxmlformats.org/officeDocument/2006/relationships/settings" Target="settings.xml" /><Relationship Id="rId21" Type="http://schemas.openxmlformats.org/officeDocument/2006/relationships/theme" Target="theme/theme1.xml" /><Relationship Id="rId22" Type="http://schemas.openxmlformats.org/officeDocument/2006/relationships/numbering" Target="numbering.xml" /><Relationship Id="rId1" Type="http://schemas.openxmlformats.org/officeDocument/2006/relationships/footer" Target="footer1.xml" /><Relationship Id="rId2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customXml" Target="../customXml/item3.xml" /><Relationship Id="rId2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