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Husk Distillers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592 McAuleys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North Tumbulgum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Harriet Messenger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0402077662</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reservations@huskdistillers.com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www.huskdistillers.com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2026-11-01 17:00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_Toc0000000019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_Toc0000000020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_Toc0000000021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_Toc0000000022 \h</w:instrText>
          </w:r>
          <w:r>
            <w:rPr/>
            <w:fldChar w:fldCharType="separate"/>
          </w:r>
          <w:r>
            <w:rPr/>
            <w:t xml:space="preserve">16</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drawing>
          <wp:inline>
            <wp:extent cx="2540000" cy="17907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7907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signs have raised lettering or braille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Most of the venue is outside, and the evacuation spot is clearly signposted and visible. Large double doors that lead from each public area are pinned open at all times during service.</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We identify guests needing assistance via three primary methods:    Pre-Booking: Guests can flag mobility or sensory requirements in our reservation system’s "special notes" field.  Entry Assessment: Greeting staff visually identify guests with mobility aids or high-support needs as they arrive.  Active Monitoring: Our open-plan layout provides clear sightlines, and our digital booking system ensure we know where guests are, and if bookings move tables their booking notes follow them. Floor staff maintain situational awareness of guest locations throughout their visit.  During an emergency, designated staff "sweep" assigned zones - from the lawn to the tasting room - to provide direct guidance, ensuring those identified reach our permanently open exits and assembly points safely.</w:t>
      </w:r>
    </w:p>
    <w:p>
      <w:pPr>
        <w:pStyle w:val="ListBullet"/>
        <w:numPr>
          <w:ilvl w:val="0"/>
          <w:numId w:val="35"/>
        </w:numPr>
        <w:spacing/>
        <w:rPr/>
      </w:pPr>
      <w:r>
        <w:rPr/>
        <w:t xml:space="preserve">In addition, the following further information can assist guests:</w:t>
      </w:r>
    </w:p>
    <w:p>
      <w:pPr>
        <w:spacing/>
        <w:rPr/>
      </w:pPr>
      <w:r>
        <w:rPr/>
        <w:t xml:space="preserve">Their needs will be managed individually and case by case by a dedicated team member during the evacuation procedures. </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Braille Displays</w:t>
      </w:r>
    </w:p>
    <w:p>
      <w:pPr>
        <w:spacing/>
        <w:rPr/>
      </w:pPr>
    </w:p>
    <w:p>
      <w:pPr>
        <w:pBdr/>
        <w:spacing/>
        <w:rPr/>
      </w:pPr>
      <w:r>
        <w:rPr/>
        <w:t xml:space="preserve">We have braille on toilet &amp; directional signs, but nowhere else. </w:t>
      </w:r>
    </w:p>
    <w:p>
      <w:pPr>
        <w:spacing/>
        <w:rPr/>
      </w:pPr>
    </w:p>
    <w:p>
      <w:pPr>
        <w:pBdr/>
        <w:spacing/>
        <w:rPr/>
      </w:pPr>
      <w:r>
        <w:rPr/>
        <w:t xml:space="preserve">Our tasting flights come with paper pamphlets so guests can read in their own time if the explanation was too fast or if they are hearing impaired.</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Service dogs are welcome. We have designated tables which are more suitable for these bookings, with a bit more space around them and with easy access to the lawn.</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A lower counter at reception/ticket office</w:t>
      </w:r>
    </w:p>
    <w:p>
      <w:pPr>
        <w:spacing/>
        <w:rPr/>
      </w:pPr>
    </w:p>
    <w:p>
      <w:pPr>
        <w:pBdr/>
        <w:spacing/>
        <w:rPr/>
      </w:pPr>
      <w:r>
        <w:rPr/>
        <w:t xml:space="preserve">We don't have a reception - rather a host desk outdoors at the entrance. There are seats nearby if guests need to sit down before being seen.</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We don't often have a line, however if there was one and someone was experiencing fatigue, we would be able to support them by serving them first or offering a chair if that wasn't possible, if they made themselves known to us.</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Quiet periods or early opening times for people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Not needed - all one level.</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pStyle w:val="ListBullet"/>
        <w:numPr>
          <w:ilvl w:val="0"/>
          <w:numId w:val="35"/>
        </w:numPr>
        <w:spacing/>
        <w:rPr/>
      </w:pPr>
      <w:r>
        <w:rPr/>
        <w:t xml:space="preserve">In addition, the following further information can assist guests:</w:t>
      </w:r>
    </w:p>
    <w:p>
      <w:pPr>
        <w:spacing/>
        <w:rPr/>
      </w:pPr>
      <w:r>
        <w:rPr/>
        <w:t xml:space="preserve">We have quiet spaces for parents and children on the Autism spectrum if they come at a recommended quiet time. On busy weekend days and during school holidays, we may not be able to accommodate, so it's important to let us know ahead of time.</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Display units, Televisions, Video displays etc. are  open captioned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We have no steps in the venue. All flat, all accessible. </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'Changing Place' within We have a baby change table, not an adult one.  of our business</w:t>
      </w:r>
    </w:p>
    <w:p>
      <w:pPr>
        <w:pStyle w:val="Heading1"/>
        <w:spacing/>
        <w:rPr/>
      </w:pPr>
      <w:bookmarkStart w:id="22" w:name="_Toc0000000018"/>
      <w:r>
        <w:rPr/>
        <w:t xml:space="preserve">ATTRACTIONS</w:t>
      </w:r>
      <w:bookmarkEnd w:id="22"/>
    </w:p>
    <w:p>
      <w:pPr>
        <w:pStyle w:val="Subtitle"/>
        <w:spacing/>
        <w:rPr/>
      </w:pPr>
      <w:r>
        <w:rPr/>
        <w:t xml:space="preserve">Image(s)</w:t>
      </w:r>
    </w:p>
    <w:p>
      <w:pPr>
        <w:spacing/>
        <w:rPr/>
      </w:pPr>
      <w:r>
        <w:rPr/>
        <w:drawing>
          <wp:inline>
            <wp:extent cx="19050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905000" cy="2540000"/>
                    </a:xfrm>
                    <a:prstGeom prst="rect">
                      <a:avLst/>
                    </a:prstGeom>
                  </pic:spPr>
                </pic:pic>
              </a:graphicData>
            </a:graphic>
          </wp:inline>
        </w:drawing>
      </w:r>
    </w:p>
    <w:p>
      <w:pPr>
        <w:spacing/>
        <w:rPr/>
      </w:pPr>
      <w:r>
        <w:rPr/>
        <w:t xml:space="preserve">Inside accessible loo</w:t>
      </w:r>
    </w:p>
    <w:p>
      <w:pPr>
        <w:spacing/>
        <w:rPr/>
      </w:pPr>
      <w:r>
        <w:rPr/>
        <w:drawing>
          <wp:inline>
            <wp:extent cx="19050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905000" cy="2540000"/>
                    </a:xfrm>
                    <a:prstGeom prst="rect">
                      <a:avLst/>
                    </a:prstGeom>
                  </pic:spPr>
                </pic:pic>
              </a:graphicData>
            </a:graphic>
          </wp:inline>
        </w:drawing>
      </w:r>
    </w:p>
    <w:p>
      <w:pPr>
        <w:spacing/>
        <w:rPr/>
      </w:pPr>
      <w:r>
        <w:rPr/>
        <w:t xml:space="preserve">Acessible loo</w:t>
      </w:r>
    </w:p>
    <w:p>
      <w:pPr>
        <w:spacing/>
        <w:rPr/>
      </w:pPr>
      <w:r>
        <w:rPr/>
        <w:drawing>
          <wp:inline>
            <wp:extent cx="1905000" cy="2540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905000" cy="2540000"/>
                    </a:xfrm>
                    <a:prstGeom prst="rect">
                      <a:avLst/>
                    </a:prstGeom>
                  </pic:spPr>
                </pic:pic>
              </a:graphicData>
            </a:graphic>
          </wp:inline>
        </w:drawing>
      </w:r>
    </w:p>
    <w:p>
      <w:pPr>
        <w:spacing/>
        <w:rPr/>
      </w:pPr>
      <w:r>
        <w:rPr/>
        <w:t xml:space="preserve">Gift Shop</w:t>
      </w:r>
    </w:p>
    <w:p>
      <w:pPr>
        <w:spacing/>
        <w:rPr/>
      </w:pPr>
      <w:r>
        <w:rPr/>
        <w:drawing>
          <wp:inline>
            <wp:extent cx="19050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905000" cy="2540000"/>
                    </a:xfrm>
                    <a:prstGeom prst="rect">
                      <a:avLst/>
                    </a:prstGeom>
                  </pic:spPr>
                </pic:pic>
              </a:graphicData>
            </a:graphic>
          </wp:inline>
        </w:drawing>
      </w:r>
    </w:p>
    <w:p>
      <w:pPr>
        <w:spacing/>
        <w:rPr/>
      </w:pPr>
      <w:r>
        <w:rPr/>
        <w:t xml:space="preserve">Planter's Restaurant Outdoor Area</w:t>
      </w:r>
    </w:p>
    <w:p>
      <w:pPr>
        <w:spacing/>
        <w:rPr/>
      </w:pPr>
      <w:r>
        <w:rPr/>
        <w:drawing>
          <wp:inline>
            <wp:extent cx="1905000" cy="2540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1905000" cy="2540000"/>
                    </a:xfrm>
                    <a:prstGeom prst="rect">
                      <a:avLst/>
                    </a:prstGeom>
                  </pic:spPr>
                </pic:pic>
              </a:graphicData>
            </a:graphic>
          </wp:inline>
        </w:drawing>
      </w:r>
    </w:p>
    <w:p>
      <w:pPr>
        <w:spacing/>
        <w:rPr/>
      </w:pPr>
      <w:r>
        <w:rPr/>
        <w:t xml:space="preserve">Drop off area close to the entrance</w:t>
      </w:r>
    </w:p>
    <w:p>
      <w:pPr>
        <w:spacing/>
        <w:rPr/>
      </w:pPr>
      <w:r>
        <w:rPr/>
        <w:drawing>
          <wp:inline>
            <wp:extent cx="1905000" cy="2540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905000" cy="2540000"/>
                    </a:xfrm>
                    <a:prstGeom prst="rect">
                      <a:avLst/>
                    </a:prstGeom>
                  </pic:spPr>
                </pic:pic>
              </a:graphicData>
            </a:graphic>
          </wp:inline>
        </w:drawing>
      </w:r>
    </w:p>
    <w:p>
      <w:pPr>
        <w:spacing/>
        <w:rPr/>
      </w:pPr>
      <w:r>
        <w:rPr/>
        <w:t xml:space="preserve">All walkways are flat and wide</w:t>
      </w:r>
    </w:p>
    <w:p>
      <w:pPr>
        <w:spacing/>
        <w:rPr/>
      </w:pPr>
      <w:r>
        <w:rPr/>
        <w:drawing>
          <wp:inline>
            <wp:extent cx="1905000" cy="2540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1905000" cy="2540000"/>
                    </a:xfrm>
                    <a:prstGeom prst="rect">
                      <a:avLst/>
                    </a:prstGeom>
                  </pic:spPr>
                </pic:pic>
              </a:graphicData>
            </a:graphic>
          </wp:inline>
        </w:drawing>
      </w:r>
    </w:p>
    <w:p>
      <w:pPr>
        <w:spacing/>
        <w:rPr/>
      </w:pPr>
      <w:r>
        <w:rPr/>
        <w:t xml:space="preserve">Acessible car park</w:t>
      </w:r>
    </w:p>
    <w:p>
      <w:pPr>
        <w:pStyle w:val="Heading1"/>
        <w:spacing/>
        <w:rPr/>
      </w:pPr>
      <w:bookmarkStart w:id="23" w:name="_Toc0000000019"/>
      <w:r>
        <w:rPr/>
        <w:t xml:space="preserve">COMMON AREAS</w:t>
      </w:r>
      <w:bookmarkEnd w:id="23"/>
    </w:p>
    <w:p>
      <w:pPr>
        <w:pStyle w:val="Heading1"/>
        <w:spacing/>
        <w:rPr/>
      </w:pPr>
      <w:bookmarkStart w:id="24" w:name="_Toc0000000020"/>
      <w:r>
        <w:rPr/>
        <w:t xml:space="preserve">FOOD AND DRINK</w:t>
      </w:r>
      <w:bookmarkEnd w:id="24"/>
    </w:p>
    <w:p>
      <w:pPr>
        <w:spacing/>
        <w:rPr/>
      </w:pPr>
      <w:r>
        <w:rPr/>
        <w:t xml:space="preserve"> </w:t>
      </w:r>
    </w:p>
    <w:p>
      <w:pPr>
        <w:pStyle w:val="Heading2"/>
        <w:spacing/>
        <w:rPr/>
      </w:pPr>
      <w:bookmarkStart w:id="25" w:name="_Toc0000000021"/>
      <w:r>
        <w:rPr/>
        <w:t xml:space="preserve">Dining Spaces</w:t>
      </w:r>
      <w:bookmarkEnd w:id="25"/>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Food Safety Supervisor maintains standards of safe food preparation &amp;amp; storage to avoid cross contamination. Any potential allergens that may be present in the kitchen are flagged with guests to ensure they can make an informed decision.</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sectPr>
          <w:type w:val="nextPage"/>
          <w:pgSz w:w="11906" w:h="16838"/>
          <w:pgMar w:top="1440" w:right="1440" w:bottom="1440" w:left="1440" w:header="708" w:footer="708" w:gutter="0"/>
          <w:pgBorders/>
          <w:pgNumType w:fmt="decimal"/>
          <w:cols w:num="1" w:equalWidth="1" w:space="708"/>
          <w:docGrid w:linePitch="360"/>
        </w:sectPr>
      </w:pPr>
      <w:r>
        <w:rPr/>
        <w:t xml:space="preserve">https://www.huskdistillers.com/menu</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6" w:name="_Toc0000000022"/>
      <w:r>
        <w:rPr/>
        <w:t xml:space="preserve">Report Disclaimer</w:t>
      </w:r>
      <w:bookmarkEnd w:id="26"/>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4B8AB31"/>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0" Type="http://schemas.openxmlformats.org/officeDocument/2006/relationships/styles" Target="styles.xml" /><Relationship Id="rId11" Type="http://schemas.openxmlformats.org/officeDocument/2006/relationships/settings" Target="settings.xml" /><Relationship Id="rId12" Type="http://schemas.openxmlformats.org/officeDocument/2006/relationships/theme" Target="theme/theme1.xml" /><Relationship Id="rId13" Type="http://schemas.openxmlformats.org/officeDocument/2006/relationships/numbering" Target="numbering.xml" /><Relationship Id="rId1" Type="http://schemas.openxmlformats.org/officeDocument/2006/relationships/footer" Target="footer1.xml" /><Relationship Id="rId14"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