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Seppeltsfield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730 Seppeltsfield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Seppeltsfield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Diana Williams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8568 6200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cellarsales@seppeltsfield.com.au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https://seppeltsfield.com.au/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2026-07-02 06:10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47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47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Our Estate is open for general public access on a daily basis.  Signage is provided inside buildings but visitors are able to wander the grounds in their own time.</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training and signage to keep access areas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trained as evacuation and fire wardens will check with customers to see if assistance is required.</w:t>
      </w:r>
    </w:p>
    <w:p>
      <w:pPr>
        <w:spacing/>
        <w:rPr/>
      </w:pPr>
      <w:r>
        <w:rPr/>
        <w:t xml:space="preserve">The procedure for assisting guests who need assisted rescue is: </w:t>
      </w:r>
    </w:p>
    <w:p>
      <w:pPr>
        <w:pBdr/>
        <w:spacing/>
        <w:rPr/>
      </w:pPr>
      <w:r>
        <w:rPr/>
        <w:t xml:space="preserve">Staff trained as evacuation and fire wardens will assist as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https://seppeltsfield.com.au/accessibility-at-seppeltsfield/</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welcome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Seating is provided around the site for visitors to utilise, including outside cellar door.</w:t>
      </w:r>
    </w:p>
    <w:p>
      <w:pPr>
        <w:pStyle w:val="ListBullet"/>
        <w:numPr>
          <w:ilvl w:val="0"/>
          <w:numId w:val="35"/>
        </w:numPr>
        <w:spacing/>
        <w:rPr/>
      </w:pPr>
      <w:r>
        <w:rPr/>
        <w:t xml:space="preserve">In addition, the following further information can assist guests:</w:t>
      </w:r>
    </w:p>
    <w:p>
      <w:pPr>
        <w:spacing/>
        <w:rPr/>
      </w:pPr>
      <w:r>
        <w:rPr/>
        <w:t xml:space="preserve">The descriptions for our online bookable experiences include a link to our Accessibility Page and an email address to contact us for any additional questions or specific assistance required.</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Accessibility ramps are in place where possible inside and outside of buildings.&amp;nbsp;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public buildings on the Estate have accessible entrances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Some areas of our heritage buildings are not accessible to all visitors, but main visitor areas are accessible.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if provided in Cellar Door for guests undertaking a wine tasting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Self guided and guided tours around the Estate are offered. &amp;nbsp;Seating is available at various locations on the tour routes.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Some areas of the Estate that are not open for daily general public access, are not fully accessible. &amp;nbsp;Some tour routes can be modified, but some private tour locations within the heritage buildings are not fully accessible. &amp;nbsp;This is clearly detailed on our website.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Some private tour locations within the heritage buildings are not fully accessible. &amp;nbsp;This is clearly detailed on our website.</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Ramps installed within and for access into public buildings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Two accessible toilets are located on our Estate</w:t>
      </w:r>
    </w:p>
    <w:p>
      <w:pPr>
        <w:pStyle w:val="Heading1"/>
        <w:spacing/>
        <w:rPr/>
      </w:pPr>
      <w:bookmarkStart w:id="23" w:name="_Toc0000000019"/>
      <w:r>
        <w:rPr/>
        <w:t xml:space="preserve">ATTRACTIONS</w:t>
      </w:r>
      <w:bookmarkEnd w:id="23"/>
    </w:p>
    <w:p>
      <w:pPr>
        <w:spacing/>
        <w:rPr/>
      </w:pPr>
      <w:r>
        <w:rPr/>
        <w:t xml:space="preserve"> </w:t>
      </w:r>
    </w:p>
    <w:p>
      <w:pPr>
        <w:pStyle w:val="Heading2"/>
        <w:spacing/>
        <w:rPr/>
      </w:pPr>
      <w:bookmarkStart w:id="24" w:name="_Toc0000000020"/>
      <w:r>
        <w:rPr/>
        <w:t xml:space="preserve">Attractions Basics</w:t>
      </w:r>
      <w:bookmarkEnd w:id="24"/>
    </w:p>
    <w:p>
      <w:pPr>
        <w:pStyle w:val="ListBullet"/>
        <w:numPr>
          <w:ilvl w:val="0"/>
          <w:numId w:val="35"/>
        </w:numPr>
        <w:spacing/>
        <w:rPr/>
      </w:pPr>
      <w:r>
        <w:rPr/>
        <w:t xml:space="preserve">A park map is available here:</w:t>
      </w:r>
    </w:p>
    <w:p>
      <w:pPr>
        <w:spacing/>
        <w:rPr/>
      </w:pPr>
    </w:p>
    <w:p>
      <w:pPr>
        <w:pBdr/>
        <w:spacing/>
        <w:rPr/>
      </w:pPr>
      <w:r>
        <w:rPr/>
        <w:t xml:space="preserve">https://seppeltsfield.com.au/seppeltsfield-site-map/</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sign with symbols and braille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Ambulant toilets with signs with images and braille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with low tables for visitors needing accessible tasting options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Flat wide access to accessible and ambulant toilets</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Dining Hall function area</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towards Cellar Door</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Ramps installed in public outdoor areas</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Wide flat paved walkways to Cellar Door</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Wide walkways with ramp access outside Cellar Door</w:t>
      </w:r>
    </w:p>
    <w:p>
      <w:pPr>
        <w:pStyle w:val="ListBullet"/>
        <w:numPr>
          <w:ilvl w:val="0"/>
          <w:numId w:val="35"/>
        </w:numPr>
        <w:spacing/>
        <w:rPr/>
      </w:pPr>
      <w:r>
        <w:rPr/>
        <w:t xml:space="preserve">In addition, the following further information can assist guests:</w:t>
      </w:r>
    </w:p>
    <w:p>
      <w:pPr>
        <w:spacing/>
        <w:rPr/>
      </w:pPr>
      <w:r>
        <w:rPr/>
        <w:t xml:space="preserve">Directions to key locations on the Estate is provided on the website page with the site map to assist with planning a visit</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https://seppeltsfield.com.au/seppeltsfield-site-map/</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Subtitle"/>
        <w:spacing/>
        <w:rPr/>
      </w:pPr>
      <w:r>
        <w:rPr/>
        <w:t xml:space="preserve">Parks and Gardens Access/Entry Image(s)</w:t>
      </w:r>
    </w:p>
    <w:p>
      <w:pPr>
        <w:spacing/>
        <w:rPr/>
      </w:pPr>
      <w:r>
        <w:rPr/>
        <w:drawing>
          <wp:inline>
            <wp:extent cx="2540000" cy="1905000"/>
            <wp:docPr id="15"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1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17"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w:t>
      </w:r>
    </w:p>
    <w:p>
      <w:pPr>
        <w:spacing/>
        <w:rPr/>
      </w:pPr>
      <w:r>
        <w:rPr/>
        <w:drawing>
          <wp:inline>
            <wp:extent cx="2540000" cy="1905000"/>
            <wp:docPr id="18"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Wide walkways at the centre of the Estate grounds</w:t>
      </w:r>
    </w:p>
    <w:p>
      <w:pPr>
        <w:spacing/>
        <w:rPr/>
      </w:pPr>
      <w:r>
        <w:rPr/>
        <w:drawing>
          <wp:inline>
            <wp:extent cx="2540000" cy="1905000"/>
            <wp:docPr id="19"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Wide flat paved walkway to the cafe gardens</w:t>
      </w:r>
    </w:p>
    <w:p>
      <w:pPr>
        <w:spacing/>
        <w:rPr/>
      </w:pPr>
      <w:r>
        <w:rPr/>
        <w:drawing>
          <wp:inline>
            <wp:extent cx="2540000" cy="1905000"/>
            <wp:docPr id="20"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Signage for accessible toilets and key locations</w:t>
      </w:r>
    </w:p>
    <w:p>
      <w:pPr>
        <w:pStyle w:val="ListBullet"/>
        <w:numPr>
          <w:ilvl w:val="0"/>
          <w:numId w:val="35"/>
        </w:numPr>
        <w:spacing/>
        <w:rPr/>
      </w:pPr>
      <w:r>
        <w:rPr/>
        <w:t xml:space="preserve">In addition, the following further information can assist guests:</w:t>
      </w:r>
    </w:p>
    <w:p>
      <w:pPr>
        <w:spacing/>
        <w:rPr/>
      </w:pPr>
      <w:r>
        <w:rPr/>
        <w:t xml:space="preserve">Directions for key locations on the site are provided on our website to assist visitors to plan their trip to Seppeltsfield Estate.</w:t>
      </w:r>
    </w:p>
    <w:p>
      <w:pPr>
        <w:pStyle w:val="Subtitle"/>
        <w:spacing/>
        <w:rPr/>
      </w:pPr>
      <w:r>
        <w:rPr/>
        <w:t xml:space="preserve">Parks and Gardens Stair entry and exit Image(s)</w:t>
      </w:r>
    </w:p>
    <w:p>
      <w:pPr>
        <w:spacing/>
        <w:rPr/>
      </w:pPr>
      <w:r>
        <w:rPr/>
        <w:drawing>
          <wp:inline>
            <wp:extent cx="2540000" cy="1905000"/>
            <wp:docPr id="2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22"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Signage for accessible toilets and key locations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Food safety systems in place and all staff are trained in food safety. &amp;nbsp;Designated chopping board and toasty machines used for gluten free options.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https://seppeltsfield.com.au/cafe-seppeltsfield/</w:t>
      </w:r>
    </w:p>
    <w:p>
      <w:pPr>
        <w:pStyle w:val="Subtitle"/>
        <w:spacing/>
        <w:rPr/>
      </w:pPr>
      <w:r>
        <w:rPr/>
        <w:t xml:space="preserve">Food and Beverage Image(s)</w:t>
      </w:r>
    </w:p>
    <w:p>
      <w:pPr>
        <w:spacing/>
        <w:rPr/>
      </w:pPr>
      <w:r>
        <w:rPr/>
        <w:drawing>
          <wp:inline>
            <wp:extent cx="2540000" cy="1905000"/>
            <wp:docPr id="23"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24"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Cafe ordering counter</w:t>
      </w:r>
    </w:p>
    <w:p>
      <w:pPr>
        <w:spacing/>
        <w:rPr/>
      </w:pPr>
      <w:r>
        <w:rPr/>
        <w:drawing>
          <wp:inline>
            <wp:extent cx="2540000" cy="1905000"/>
            <wp:docPr id="25"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area</w:t>
      </w:r>
    </w:p>
    <w:p>
      <w:pPr>
        <w:spacing/>
        <w:rPr/>
      </w:pPr>
      <w:r>
        <w:rPr/>
        <w:drawing>
          <wp:inline>
            <wp:extent cx="2540000" cy="1905000"/>
            <wp:docPr id="26"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Cafe outdoor dining with easily movable chairs for access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4ED29C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2" Type="http://schemas.openxmlformats.org/officeDocument/2006/relationships/styles" Target="styles.xml" /><Relationship Id="rId23" Type="http://schemas.openxmlformats.org/officeDocument/2006/relationships/settings" Target="settings.xml" /><Relationship Id="rId24" Type="http://schemas.openxmlformats.org/officeDocument/2006/relationships/theme" Target="theme/theme1.xml" /><Relationship Id="rId25" Type="http://schemas.openxmlformats.org/officeDocument/2006/relationships/numbering" Target="numbering.xml" /><Relationship Id="rId1" Type="http://schemas.openxmlformats.org/officeDocument/2006/relationships/footer" Target="footer1.xml" /><Relationship Id="rId2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customXml" Target="../customXml/item3.xml" /><Relationship Id="rId3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