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Seppeltsfield Wines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730 Seppeltsfield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Seppeltsfield</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Diana Williams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8568 6200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cellarsales@seppeltsfield.com.au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https://seppeltsfield.com.au/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2026-09-02 02:06</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Steps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Ramps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Attractions Basics</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_Toc0000000021 \h</w:instrText>
          </w:r>
          <w:r>
            <w:rPr/>
            <w:fldChar w:fldCharType="separate"/>
          </w:r>
          <w:r>
            <w:rPr/>
            <w:t xml:space="preserve">16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_Toc0000000022 \h</w:instrText>
          </w:r>
          <w:r>
            <w:rPr/>
            <w:fldChar w:fldCharType="separate"/>
          </w:r>
          <w:r>
            <w:rPr/>
            <w:t xml:space="preserve">16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_Toc0000000023 \h</w:instrText>
          </w:r>
          <w:r>
            <w:rPr/>
            <w:fldChar w:fldCharType="separate"/>
          </w:r>
          <w:r>
            <w:rPr/>
            <w:t xml:space="preserve">19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_Toc0000000024 \h</w:instrText>
          </w:r>
          <w:r>
            <w:rPr/>
            <w:fldChar w:fldCharType="separate"/>
          </w:r>
          <w:r>
            <w:rPr/>
            <w:t xml:space="preserve">19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_Toc0000000025 \h</w:instrText>
          </w:r>
          <w:r>
            <w:rPr/>
            <w:fldChar w:fldCharType="separate"/>
          </w:r>
          <w:r>
            <w:rPr/>
            <w:t xml:space="preserve">22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4478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4478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spacing/>
        <w:rPr/>
      </w:pPr>
    </w:p>
    <w:p>
      <w:pPr>
        <w:pBdr/>
        <w:spacing/>
        <w:rPr/>
      </w:pPr>
      <w:r>
        <w:rPr/>
        <w:t xml:space="preserve">Our Estate is open for general public access on a daily basis.  Signage is provided inside buildings but visitors are able to wander the grounds in their own time.</w:t>
      </w:r>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Staff training and signage to keep access areas clear</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In addition, the following further information can assist guests:</w:t>
      </w:r>
    </w:p>
    <w:p>
      <w:pPr>
        <w:spacing/>
        <w:rPr/>
      </w:pPr>
      <w:r>
        <w:rPr/>
        <w:t xml:space="preserve">Staff trained as evacuation and fire wardens will check with customers to see if assistance is required.</w:t>
      </w:r>
    </w:p>
    <w:p>
      <w:pPr>
        <w:pStyle w:val="ListBullet"/>
        <w:numPr>
          <w:ilvl w:val="0"/>
          <w:numId w:val="35"/>
        </w:numPr>
        <w:spacing/>
        <w:rPr/>
      </w:pPr>
      <w:r>
        <w:rPr/>
        <w:t xml:space="preserve">In addition, the following further information can assist guests:</w:t>
      </w:r>
    </w:p>
    <w:p>
      <w:pPr>
        <w:spacing/>
        <w:rPr/>
      </w:pPr>
      <w:r>
        <w:rPr/>
        <w:t xml:space="preserve">Staff trained as evacuation and fire wardens will assist as required.</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https://seppeltsfield.com.au/accessibility-at-seppeltsfield/</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Service animals are welcome</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In addition, the following further information can assist guests:</w:t>
      </w:r>
    </w:p>
    <w:p>
      <w:pPr>
        <w:spacing/>
        <w:rPr/>
      </w:pPr>
      <w:r>
        <w:rPr/>
        <w:t xml:space="preserve">Seating is provided around the site for visitors to utilise, including outside cellar door.</w:t>
      </w:r>
    </w:p>
    <w:p>
      <w:pPr>
        <w:pStyle w:val="ListBullet"/>
        <w:numPr>
          <w:ilvl w:val="0"/>
          <w:numId w:val="35"/>
        </w:numPr>
        <w:spacing/>
        <w:rPr/>
      </w:pPr>
      <w:r>
        <w:rPr/>
        <w:t xml:space="preserve">In addition, the following further information can assist guests:</w:t>
      </w:r>
    </w:p>
    <w:p>
      <w:pPr>
        <w:spacing/>
        <w:rPr/>
      </w:pPr>
      <w:r>
        <w:rPr/>
        <w:t xml:space="preserve">The descriptions for our online bookable experiences include a link to our Accessibility Page and an email address to contact us for any additional questions or specific assistance required.</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In addition, the following further information can assist guests:</w:t>
      </w:r>
    </w:p>
    <w:p>
      <w:pPr>
        <w:spacing/>
        <w:rPr/>
      </w:pPr>
      <w:r>
        <w:rPr/>
        <w:t xml:space="preserve">Accessibility ramps are in place where possible inside and outside of buildings.</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All public buildings on the Estate have accessible entrances</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In addition, the following further information can assist guests:</w:t>
      </w:r>
    </w:p>
    <w:p>
      <w:pPr>
        <w:spacing/>
        <w:rPr/>
      </w:pPr>
      <w:r>
        <w:rPr/>
        <w:t xml:space="preserve">Some areas of our heritage buildings are not accessible to all visitors, but main visitor areas are accessible.</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Seating if provided in Cellar Door for guests undertaking a wine tasting</w:t>
      </w:r>
    </w:p>
    <w:p>
      <w:pPr>
        <w:spacing/>
        <w:rPr/>
      </w:pPr>
      <w:r>
        <w:rPr/>
        <w:t xml:space="preserve"> </w:t>
      </w:r>
    </w:p>
    <w:p>
      <w:pPr>
        <w:pStyle w:val="Heading2"/>
        <w:spacing/>
        <w:rPr/>
      </w:pPr>
      <w:bookmarkStart w:id="18" w:name="_Toc0000000014"/>
      <w:r>
        <w:rPr/>
        <w:t xml:space="preserve">Displays, exhibits, commentary and live performances</w:t>
      </w:r>
      <w:bookmarkEnd w:id="18"/>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In addition, the following further information can assist guests:</w:t>
      </w:r>
    </w:p>
    <w:p>
      <w:pPr>
        <w:spacing/>
        <w:rPr/>
      </w:pPr>
      <w:r>
        <w:rPr/>
        <w:t xml:space="preserve">Self guided and guided tours around the Estate are offered. Seating is available at various locations on the tour routes.</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In addition, the following further information can assist guests:</w:t>
      </w:r>
    </w:p>
    <w:p>
      <w:pPr>
        <w:spacing/>
        <w:rPr/>
      </w:pPr>
      <w:r>
        <w:rPr/>
        <w:t xml:space="preserve">Some areas of the Estate that are not open for daily general public access, are not fully accessible. Some tour routes can be modified, but some private tour locations within the heritage buildings are not fully accessible. This is clearly detailed on our website.</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In addition, the following further information can assist guests:</w:t>
      </w:r>
    </w:p>
    <w:p>
      <w:pPr>
        <w:spacing/>
        <w:rPr/>
      </w:pPr>
      <w:r>
        <w:rPr/>
        <w:t xml:space="preserve">Some private tour locations within the heritage buildings are not fully accessible. This is clearly detailed on our website.</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In addition, the following further information can assist guests:</w:t>
      </w:r>
    </w:p>
    <w:p>
      <w:pPr>
        <w:spacing/>
        <w:rPr/>
      </w:pPr>
      <w:r>
        <w:rPr/>
        <w:t xml:space="preserve">Ramps installed within and for access into public buildings</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Two accessible toilets are located on our Estate</w:t>
      </w:r>
    </w:p>
    <w:p>
      <w:pPr>
        <w:pStyle w:val="Heading1"/>
        <w:spacing/>
        <w:rPr/>
      </w:pPr>
      <w:bookmarkStart w:id="23" w:name="_Toc0000000019"/>
      <w:r>
        <w:rPr/>
        <w:t xml:space="preserve">ATTRACTIONS</w:t>
      </w:r>
      <w:bookmarkEnd w:id="23"/>
    </w:p>
    <w:p>
      <w:pPr>
        <w:spacing/>
        <w:rPr/>
      </w:pPr>
      <w:r>
        <w:rPr/>
        <w:t xml:space="preserve"> </w:t>
      </w:r>
    </w:p>
    <w:p>
      <w:pPr>
        <w:pStyle w:val="Heading2"/>
        <w:spacing/>
        <w:rPr/>
      </w:pPr>
      <w:bookmarkStart w:id="24" w:name="_Toc0000000020"/>
      <w:r>
        <w:rPr/>
        <w:t xml:space="preserve">Attractions Basics</w:t>
      </w:r>
      <w:bookmarkEnd w:id="24"/>
    </w:p>
    <w:p>
      <w:pPr>
        <w:pStyle w:val="ListBullet"/>
        <w:numPr>
          <w:ilvl w:val="0"/>
          <w:numId w:val="35"/>
        </w:numPr>
        <w:spacing/>
        <w:rPr/>
      </w:pPr>
      <w:r>
        <w:rPr/>
        <w:t xml:space="preserve">A park map is available here:</w:t>
      </w:r>
    </w:p>
    <w:p>
      <w:pPr>
        <w:spacing/>
        <w:rPr/>
      </w:pPr>
    </w:p>
    <w:p>
      <w:pPr>
        <w:pBdr/>
        <w:spacing/>
        <w:rPr/>
      </w:pPr>
      <w:r>
        <w:rPr/>
        <w:t xml:space="preserve">https://seppeltsfield.com.au/seppeltsfield-site-map/</w:t>
      </w:r>
    </w:p>
    <w:p>
      <w:pPr>
        <w:pStyle w:val="Subtitle"/>
        <w:spacing/>
        <w:rPr/>
      </w:pPr>
      <w:r>
        <w:rPr/>
        <w:t xml:space="preserve">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Accessible parking</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Accessible toilet sign with symbols and braille</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Accessible toilet</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Ambulant toilets with signs with images and braille</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Cafe indoor dining with wide doorways</w:t>
      </w:r>
    </w:p>
    <w:p>
      <w:pPr>
        <w:spacing/>
        <w:rPr/>
      </w:pPr>
      <w:r>
        <w:rPr/>
        <w:drawing>
          <wp:inline>
            <wp:extent cx="2540000" cy="1905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905000"/>
                    </a:xfrm>
                    <a:prstGeom prst="rect">
                      <a:avLst/>
                    </a:prstGeom>
                  </pic:spPr>
                </pic:pic>
              </a:graphicData>
            </a:graphic>
          </wp:inline>
        </w:drawing>
      </w:r>
    </w:p>
    <w:p>
      <w:pPr>
        <w:spacing/>
        <w:rPr/>
      </w:pPr>
      <w:r>
        <w:rPr/>
        <w:t xml:space="preserve">Cellar Door with low tables for visitors needing accessible tasting options</w:t>
      </w:r>
    </w:p>
    <w:p>
      <w:pPr>
        <w:spacing/>
        <w:rPr/>
      </w:pPr>
      <w:r>
        <w:rPr/>
        <w:drawing>
          <wp:inline>
            <wp:extent cx="2540000" cy="1905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905000"/>
                    </a:xfrm>
                    <a:prstGeom prst="rect">
                      <a:avLst/>
                    </a:prstGeom>
                  </pic:spPr>
                </pic:pic>
              </a:graphicData>
            </a:graphic>
          </wp:inline>
        </w:drawing>
      </w:r>
    </w:p>
    <w:p>
      <w:pPr>
        <w:spacing/>
        <w:rPr/>
      </w:pPr>
      <w:r>
        <w:rPr/>
        <w:t xml:space="preserve">Flat wide access to accessible and ambulant toilets</w:t>
      </w:r>
    </w:p>
    <w:p>
      <w:pPr>
        <w:spacing/>
        <w:rPr/>
      </w:pPr>
      <w:r>
        <w:rPr/>
        <w:drawing>
          <wp:inline>
            <wp:extent cx="2540000" cy="1905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905000"/>
                    </a:xfrm>
                    <a:prstGeom prst="rect">
                      <a:avLst/>
                    </a:prstGeom>
                  </pic:spPr>
                </pic:pic>
              </a:graphicData>
            </a:graphic>
          </wp:inline>
        </w:drawing>
      </w:r>
    </w:p>
    <w:p>
      <w:pPr>
        <w:spacing/>
        <w:rPr/>
      </w:pPr>
      <w:r>
        <w:rPr/>
        <w:t xml:space="preserve">Ramp access to Dining Hall function area</w:t>
      </w:r>
    </w:p>
    <w:p>
      <w:pPr>
        <w:spacing/>
        <w:rPr/>
      </w:pPr>
      <w:r>
        <w:rPr/>
        <w:drawing>
          <wp:inline>
            <wp:extent cx="2540000" cy="1905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905000"/>
                    </a:xfrm>
                    <a:prstGeom prst="rect">
                      <a:avLst/>
                    </a:prstGeom>
                  </pic:spPr>
                </pic:pic>
              </a:graphicData>
            </a:graphic>
          </wp:inline>
        </w:drawing>
      </w:r>
    </w:p>
    <w:p>
      <w:pPr>
        <w:spacing/>
        <w:rPr/>
      </w:pPr>
      <w:r>
        <w:rPr/>
        <w:t xml:space="preserve">Ramp access to lawn area</w:t>
      </w:r>
    </w:p>
    <w:p>
      <w:pPr>
        <w:spacing/>
        <w:rPr/>
      </w:pPr>
      <w:r>
        <w:rPr/>
        <w:drawing>
          <wp:inline>
            <wp:extent cx="2540000" cy="1905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2540000" cy="1905000"/>
                    </a:xfrm>
                    <a:prstGeom prst="rect">
                      <a:avLst/>
                    </a:prstGeom>
                  </pic:spPr>
                </pic:pic>
              </a:graphicData>
            </a:graphic>
          </wp:inline>
        </w:drawing>
      </w:r>
    </w:p>
    <w:p>
      <w:pPr>
        <w:spacing/>
        <w:rPr/>
      </w:pPr>
      <w:r>
        <w:rPr/>
        <w:t xml:space="preserve">Ramp access towards Cellar Door</w:t>
      </w:r>
    </w:p>
    <w:p>
      <w:pPr>
        <w:spacing/>
        <w:rPr/>
      </w:pPr>
      <w:r>
        <w:rPr/>
        <w:drawing>
          <wp:inline>
            <wp:extent cx="2540000" cy="19050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2540000" cy="1905000"/>
                    </a:xfrm>
                    <a:prstGeom prst="rect">
                      <a:avLst/>
                    </a:prstGeom>
                  </pic:spPr>
                </pic:pic>
              </a:graphicData>
            </a:graphic>
          </wp:inline>
        </w:drawing>
      </w:r>
    </w:p>
    <w:p>
      <w:pPr>
        <w:spacing/>
        <w:rPr/>
      </w:pPr>
      <w:r>
        <w:rPr/>
        <w:t xml:space="preserve">Ramps installed in public outdoor areas</w:t>
      </w:r>
    </w:p>
    <w:p>
      <w:pPr>
        <w:spacing/>
        <w:rPr/>
      </w:pPr>
      <w:r>
        <w:rPr/>
        <w:drawing>
          <wp:inline>
            <wp:extent cx="2540000" cy="19050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2540000" cy="1905000"/>
                    </a:xfrm>
                    <a:prstGeom prst="rect">
                      <a:avLst/>
                    </a:prstGeom>
                  </pic:spPr>
                </pic:pic>
              </a:graphicData>
            </a:graphic>
          </wp:inline>
        </w:drawing>
      </w:r>
    </w:p>
    <w:p>
      <w:pPr>
        <w:spacing/>
        <w:rPr/>
      </w:pPr>
      <w:r>
        <w:rPr/>
        <w:t xml:space="preserve">Wide flat paved walkways to Cellar Door</w:t>
      </w:r>
    </w:p>
    <w:p>
      <w:pPr>
        <w:spacing/>
        <w:rPr/>
      </w:pPr>
      <w:r>
        <w:rPr/>
        <w:drawing>
          <wp:inline>
            <wp:extent cx="2540000" cy="1905000"/>
            <wp:docPr id="14"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2540000" cy="1905000"/>
                    </a:xfrm>
                    <a:prstGeom prst="rect">
                      <a:avLst/>
                    </a:prstGeom>
                  </pic:spPr>
                </pic:pic>
              </a:graphicData>
            </a:graphic>
          </wp:inline>
        </w:drawing>
      </w:r>
    </w:p>
    <w:p>
      <w:pPr>
        <w:spacing/>
        <w:rPr/>
      </w:pPr>
      <w:r>
        <w:rPr/>
        <w:t xml:space="preserve">Wide walkways with ramp access outside Cellar Door</w:t>
      </w:r>
    </w:p>
    <w:p>
      <w:pPr>
        <w:pStyle w:val="ListBullet"/>
        <w:numPr>
          <w:ilvl w:val="0"/>
          <w:numId w:val="35"/>
        </w:numPr>
        <w:spacing/>
        <w:rPr/>
      </w:pPr>
      <w:r>
        <w:rPr/>
        <w:t xml:space="preserve">In addition, the following further information can assist guests:</w:t>
      </w:r>
    </w:p>
    <w:p>
      <w:pPr>
        <w:spacing/>
        <w:rPr/>
      </w:pPr>
      <w:r>
        <w:rPr/>
        <w:t xml:space="preserve">Directions to key locations on the Estate is provided on the website page with the site map to assist with planning a visit</w:t>
      </w:r>
    </w:p>
    <w:p>
      <w:pPr>
        <w:pStyle w:val="Heading1"/>
        <w:spacing/>
        <w:rPr/>
      </w:pPr>
      <w:bookmarkStart w:id="25" w:name="_Toc0000000021"/>
      <w:r>
        <w:rPr/>
        <w:t xml:space="preserve">COMMON AREAS</w:t>
      </w:r>
      <w:bookmarkEnd w:id="25"/>
    </w:p>
    <w:p>
      <w:pPr>
        <w:spacing/>
        <w:rPr/>
      </w:pPr>
      <w:r>
        <w:rPr/>
        <w:t xml:space="preserve"> </w:t>
      </w:r>
    </w:p>
    <w:p>
      <w:pPr>
        <w:pStyle w:val="Heading2"/>
        <w:spacing/>
        <w:rPr/>
      </w:pPr>
      <w:bookmarkStart w:id="26" w:name="_Toc0000000022"/>
      <w:r>
        <w:rPr/>
        <w:t xml:space="preserve">Parks and gardens</w:t>
      </w:r>
      <w:bookmarkEnd w:id="26"/>
    </w:p>
    <w:p>
      <w:pPr>
        <w:pStyle w:val="ListBullet"/>
        <w:numPr>
          <w:ilvl w:val="0"/>
          <w:numId w:val="35"/>
        </w:numPr>
        <w:spacing/>
        <w:rPr/>
      </w:pPr>
      <w:r>
        <w:rPr/>
        <w:t xml:space="preserve">The following parks and gardens amenities are available</w:t>
      </w:r>
    </w:p>
    <w:p>
      <w:pPr>
        <w:pStyle w:val="ListBullet"/>
        <w:numPr>
          <w:ilvl w:val="0"/>
          <w:numId w:val="35"/>
        </w:numPr>
        <w:spacing/>
        <w:rPr/>
      </w:pPr>
      <w:r>
        <w:rPr/>
        <w:t xml:space="preserve">Accessible toilets</w:t>
      </w:r>
    </w:p>
    <w:p>
      <w:pPr>
        <w:pStyle w:val="ListBullet"/>
        <w:numPr>
          <w:ilvl w:val="0"/>
          <w:numId w:val="35"/>
        </w:numPr>
        <w:spacing/>
        <w:rPr/>
      </w:pPr>
      <w:r>
        <w:rPr/>
        <w:t xml:space="preserve">Accessible toilets are signed at regular intervals</w:t>
      </w:r>
    </w:p>
    <w:p>
      <w:pPr>
        <w:pStyle w:val="ListBullet"/>
        <w:numPr>
          <w:ilvl w:val="0"/>
          <w:numId w:val="35"/>
        </w:numPr>
        <w:spacing/>
        <w:rPr/>
      </w:pPr>
      <w:r>
        <w:rPr/>
        <w:t xml:space="preserve">There is a step free map</w:t>
      </w:r>
    </w:p>
    <w:p>
      <w:pPr>
        <w:pStyle w:val="ListBullet"/>
        <w:numPr>
          <w:ilvl w:val="0"/>
          <w:numId w:val="35"/>
        </w:numPr>
        <w:spacing/>
        <w:rPr/>
      </w:pPr>
      <w:r>
        <w:rPr/>
        <w:t xml:space="preserve">This map is available online</w:t>
      </w:r>
    </w:p>
    <w:p>
      <w:pPr>
        <w:spacing/>
        <w:rPr/>
      </w:pPr>
    </w:p>
    <w:p>
      <w:pPr>
        <w:pBdr/>
        <w:spacing/>
        <w:rPr/>
      </w:pPr>
      <w:r>
        <w:rPr/>
        <w:t xml:space="preserve">https://seppeltsfield.com.au/seppeltsfield-site-map/</w:t>
      </w:r>
    </w:p>
    <w:p>
      <w:pPr>
        <w:pStyle w:val="ListBullet"/>
        <w:numPr>
          <w:ilvl w:val="0"/>
          <w:numId w:val="35"/>
        </w:numPr>
        <w:spacing/>
        <w:rPr/>
      </w:pPr>
      <w:r>
        <w:rPr/>
        <w:t xml:space="preserve">Seats are provided at regular intervals</w:t>
      </w:r>
    </w:p>
    <w:p>
      <w:pPr>
        <w:pStyle w:val="ListBullet"/>
        <w:numPr>
          <w:ilvl w:val="0"/>
          <w:numId w:val="35"/>
        </w:numPr>
        <w:spacing/>
        <w:rPr/>
      </w:pPr>
      <w:r>
        <w:rPr/>
        <w:t xml:space="preserve">Accessible picnic tables</w:t>
      </w:r>
    </w:p>
    <w:p>
      <w:pPr>
        <w:pStyle w:val="Subtitle"/>
        <w:spacing/>
        <w:rPr/>
      </w:pPr>
      <w:r>
        <w:rPr/>
        <w:t xml:space="preserve">Parks and Gardens Access/Entry Image(s)</w:t>
      </w:r>
    </w:p>
    <w:p>
      <w:pPr>
        <w:spacing/>
        <w:rPr/>
      </w:pPr>
      <w:r>
        <w:rPr/>
        <w:drawing>
          <wp:inline>
            <wp:extent cx="2540000" cy="1905000"/>
            <wp:docPr id="15"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905000"/>
                    </a:xfrm>
                    <a:prstGeom prst="rect">
                      <a:avLst/>
                    </a:prstGeom>
                  </pic:spPr>
                </pic:pic>
              </a:graphicData>
            </a:graphic>
          </wp:inline>
        </w:drawing>
      </w:r>
    </w:p>
    <w:p>
      <w:pPr>
        <w:spacing/>
        <w:rPr/>
      </w:pPr>
      <w:r>
        <w:rPr/>
        <w:t xml:space="preserve">Ramp access to lawn area</w:t>
      </w:r>
    </w:p>
    <w:p>
      <w:pPr>
        <w:spacing/>
        <w:rPr/>
      </w:pPr>
      <w:r>
        <w:rPr/>
        <w:drawing>
          <wp:inline>
            <wp:extent cx="2540000" cy="1905000"/>
            <wp:docPr id="1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Cafe indoor dining with wide doorways</w:t>
      </w:r>
    </w:p>
    <w:p>
      <w:pPr>
        <w:spacing/>
        <w:rPr/>
      </w:pPr>
      <w:r>
        <w:rPr/>
        <w:drawing>
          <wp:inline>
            <wp:extent cx="2540000" cy="1905000"/>
            <wp:docPr id="17"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Accessible parking</w:t>
      </w:r>
    </w:p>
    <w:p>
      <w:pPr>
        <w:spacing/>
        <w:rPr/>
      </w:pPr>
      <w:r>
        <w:rPr/>
        <w:drawing>
          <wp:inline>
            <wp:extent cx="2540000" cy="1905000"/>
            <wp:docPr id="18"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a:srcRect/>
                    <a:stretch>
                      <a:fillRect/>
                    </a:stretch>
                  </pic:blipFill>
                  <pic:spPr bwMode="auto">
                    <a:xfrm>
                      <a:off x="0" y="0"/>
                      <a:ext cx="2540000" cy="1905000"/>
                    </a:xfrm>
                    <a:prstGeom prst="rect">
                      <a:avLst/>
                    </a:prstGeom>
                  </pic:spPr>
                </pic:pic>
              </a:graphicData>
            </a:graphic>
          </wp:inline>
        </w:drawing>
      </w:r>
    </w:p>
    <w:p>
      <w:pPr>
        <w:spacing/>
        <w:rPr/>
      </w:pPr>
      <w:r>
        <w:rPr/>
        <w:t xml:space="preserve">Wide walkways at the centre of the Estate grounds</w:t>
      </w:r>
    </w:p>
    <w:p>
      <w:pPr>
        <w:spacing/>
        <w:rPr/>
      </w:pPr>
      <w:r>
        <w:rPr/>
        <w:drawing>
          <wp:inline>
            <wp:extent cx="2540000" cy="1905000"/>
            <wp:docPr id="19"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7"/>
                    <a:srcRect/>
                    <a:stretch>
                      <a:fillRect/>
                    </a:stretch>
                  </pic:blipFill>
                  <pic:spPr bwMode="auto">
                    <a:xfrm>
                      <a:off x="0" y="0"/>
                      <a:ext cx="2540000" cy="1905000"/>
                    </a:xfrm>
                    <a:prstGeom prst="rect">
                      <a:avLst/>
                    </a:prstGeom>
                  </pic:spPr>
                </pic:pic>
              </a:graphicData>
            </a:graphic>
          </wp:inline>
        </w:drawing>
      </w:r>
    </w:p>
    <w:p>
      <w:pPr>
        <w:spacing/>
        <w:rPr/>
      </w:pPr>
      <w:r>
        <w:rPr/>
        <w:t xml:space="preserve">Wide flat paved walkway to the cafe gardens</w:t>
      </w:r>
    </w:p>
    <w:p>
      <w:pPr>
        <w:spacing/>
        <w:rPr/>
      </w:pPr>
      <w:r>
        <w:rPr/>
        <w:drawing>
          <wp:inline>
            <wp:extent cx="2540000" cy="1905000"/>
            <wp:docPr id="20" name="Picture 1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8"/>
                    <a:srcRect/>
                    <a:stretch>
                      <a:fillRect/>
                    </a:stretch>
                  </pic:blipFill>
                  <pic:spPr bwMode="auto">
                    <a:xfrm>
                      <a:off x="0" y="0"/>
                      <a:ext cx="2540000" cy="1905000"/>
                    </a:xfrm>
                    <a:prstGeom prst="rect">
                      <a:avLst/>
                    </a:prstGeom>
                  </pic:spPr>
                </pic:pic>
              </a:graphicData>
            </a:graphic>
          </wp:inline>
        </w:drawing>
      </w:r>
    </w:p>
    <w:p>
      <w:pPr>
        <w:spacing/>
        <w:rPr/>
      </w:pPr>
      <w:r>
        <w:rPr/>
        <w:t xml:space="preserve">Signage for accessible toilets and key locations</w:t>
      </w:r>
    </w:p>
    <w:p>
      <w:pPr>
        <w:pStyle w:val="ListBullet"/>
        <w:numPr>
          <w:ilvl w:val="0"/>
          <w:numId w:val="35"/>
        </w:numPr>
        <w:spacing/>
        <w:rPr/>
      </w:pPr>
      <w:r>
        <w:rPr/>
        <w:t xml:space="preserve">In addition, the following further information can assist guests:</w:t>
      </w:r>
    </w:p>
    <w:p>
      <w:pPr>
        <w:spacing/>
        <w:rPr/>
      </w:pPr>
      <w:r>
        <w:rPr/>
        <w:t xml:space="preserve">Directions for key locations on the site are provided on our website to assist visitors to plan their trip to Seppeltsfield Estate.</w:t>
      </w:r>
    </w:p>
    <w:p>
      <w:pPr>
        <w:pStyle w:val="Subtitle"/>
        <w:spacing/>
        <w:rPr/>
      </w:pPr>
      <w:r>
        <w:rPr/>
        <w:t xml:space="preserve">Parks and Gardens Stair entry and exit Image(s)</w:t>
      </w:r>
    </w:p>
    <w:p>
      <w:pPr>
        <w:spacing/>
        <w:rPr/>
      </w:pPr>
      <w:r>
        <w:rPr/>
        <w:drawing>
          <wp:inline>
            <wp:extent cx="2540000" cy="1905000"/>
            <wp:docPr id="21"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905000"/>
                    </a:xfrm>
                    <a:prstGeom prst="rect">
                      <a:avLst/>
                    </a:prstGeom>
                  </pic:spPr>
                </pic:pic>
              </a:graphicData>
            </a:graphic>
          </wp:inline>
        </w:drawing>
      </w:r>
    </w:p>
    <w:p>
      <w:pPr>
        <w:spacing/>
        <w:rPr/>
      </w:pPr>
      <w:r>
        <w:rPr/>
        <w:t xml:space="preserve">Ramp access to lawn area</w:t>
      </w:r>
    </w:p>
    <w:p>
      <w:pPr>
        <w:spacing/>
        <w:rPr/>
      </w:pPr>
      <w:r>
        <w:rPr/>
        <w:drawing>
          <wp:inline>
            <wp:extent cx="2540000" cy="1905000"/>
            <wp:docPr id="22" name="Picture 1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8"/>
                    <a:srcRect/>
                    <a:stretch>
                      <a:fillRect/>
                    </a:stretch>
                  </pic:blipFill>
                  <pic:spPr bwMode="auto">
                    <a:xfrm>
                      <a:off x="0" y="0"/>
                      <a:ext cx="2540000" cy="1905000"/>
                    </a:xfrm>
                    <a:prstGeom prst="rect">
                      <a:avLst/>
                    </a:prstGeom>
                  </pic:spPr>
                </pic:pic>
              </a:graphicData>
            </a:graphic>
          </wp:inline>
        </w:drawing>
      </w:r>
    </w:p>
    <w:p>
      <w:pPr>
        <w:spacing/>
        <w:rPr/>
      </w:pPr>
      <w:r>
        <w:rPr/>
        <w:t xml:space="preserve">Signage for accessible toilets and key locations</w:t>
      </w:r>
    </w:p>
    <w:p>
      <w:pPr>
        <w:pStyle w:val="Heading1"/>
        <w:spacing/>
        <w:rPr/>
      </w:pPr>
      <w:bookmarkStart w:id="27" w:name="_Toc0000000023"/>
      <w:r>
        <w:rPr/>
        <w:t xml:space="preserve">FOOD AND DRINK</w:t>
      </w:r>
      <w:bookmarkEnd w:id="27"/>
    </w:p>
    <w:p>
      <w:pPr>
        <w:spacing/>
        <w:rPr/>
      </w:pPr>
      <w:r>
        <w:rPr/>
        <w:t xml:space="preserve"> </w:t>
      </w:r>
    </w:p>
    <w:p>
      <w:pPr>
        <w:pStyle w:val="Heading2"/>
        <w:spacing/>
        <w:rPr/>
      </w:pPr>
      <w:bookmarkStart w:id="28" w:name="_Toc0000000024"/>
      <w:r>
        <w:rPr/>
        <w:t xml:space="preserve">Dining Spaces</w:t>
      </w:r>
      <w:bookmarkEnd w:id="28"/>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Vegetarian</w:t>
      </w:r>
    </w:p>
    <w:p>
      <w:pPr>
        <w:pStyle w:val="ListBullet"/>
        <w:numPr>
          <w:ilvl w:val="0"/>
          <w:numId w:val="35"/>
        </w:numPr>
        <w:spacing/>
        <w:rPr/>
      </w:pPr>
      <w:r>
        <w:rPr/>
        <w:t xml:space="preserve">In addition, the following further information can assist guests:</w:t>
      </w:r>
    </w:p>
    <w:p>
      <w:pPr>
        <w:spacing/>
        <w:rPr/>
      </w:pPr>
      <w:r>
        <w:rPr/>
        <w:t xml:space="preserve">Food safety systems in place and all staff are trained in food safety. Designated chopping board and toasty machines used for gluten free options.</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https://seppeltsfield.com.au/cafe-seppeltsfield/</w:t>
      </w:r>
    </w:p>
    <w:p>
      <w:pPr>
        <w:pStyle w:val="Subtitle"/>
        <w:spacing/>
        <w:rPr/>
      </w:pPr>
      <w:r>
        <w:rPr/>
        <w:t xml:space="preserve">Food and Beverage Image(s)</w:t>
      </w:r>
    </w:p>
    <w:p>
      <w:pPr>
        <w:spacing/>
        <w:rPr/>
      </w:pPr>
      <w:r>
        <w:rPr/>
        <w:drawing>
          <wp:inline>
            <wp:extent cx="2540000" cy="1905000"/>
            <wp:docPr id="23"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Cafe indoor dining with wide doorways</w:t>
      </w:r>
    </w:p>
    <w:p>
      <w:pPr>
        <w:spacing/>
        <w:rPr/>
      </w:pPr>
      <w:r>
        <w:rPr/>
        <w:drawing>
          <wp:inline>
            <wp:extent cx="2540000" cy="1905000"/>
            <wp:docPr id="24" name="Picture 1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9"/>
                    <a:srcRect/>
                    <a:stretch>
                      <a:fillRect/>
                    </a:stretch>
                  </pic:blipFill>
                  <pic:spPr bwMode="auto">
                    <a:xfrm>
                      <a:off x="0" y="0"/>
                      <a:ext cx="2540000" cy="1905000"/>
                    </a:xfrm>
                    <a:prstGeom prst="rect">
                      <a:avLst/>
                    </a:prstGeom>
                  </pic:spPr>
                </pic:pic>
              </a:graphicData>
            </a:graphic>
          </wp:inline>
        </w:drawing>
      </w:r>
    </w:p>
    <w:p>
      <w:pPr>
        <w:spacing/>
        <w:rPr/>
      </w:pPr>
      <w:r>
        <w:rPr/>
        <w:t xml:space="preserve">Cafe ordering counter</w:t>
      </w:r>
    </w:p>
    <w:p>
      <w:pPr>
        <w:spacing/>
        <w:rPr/>
      </w:pPr>
      <w:r>
        <w:rPr/>
        <w:drawing>
          <wp:inline>
            <wp:extent cx="2540000" cy="1905000"/>
            <wp:docPr id="25" name="Picture 1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0"/>
                    <a:srcRect/>
                    <a:stretch>
                      <a:fillRect/>
                    </a:stretch>
                  </pic:blipFill>
                  <pic:spPr bwMode="auto">
                    <a:xfrm>
                      <a:off x="0" y="0"/>
                      <a:ext cx="2540000" cy="1905000"/>
                    </a:xfrm>
                    <a:prstGeom prst="rect">
                      <a:avLst/>
                    </a:prstGeom>
                  </pic:spPr>
                </pic:pic>
              </a:graphicData>
            </a:graphic>
          </wp:inline>
        </w:drawing>
      </w:r>
    </w:p>
    <w:p>
      <w:pPr>
        <w:spacing/>
        <w:rPr/>
      </w:pPr>
      <w:r>
        <w:rPr/>
        <w:t xml:space="preserve">Cafe indoor dining area</w:t>
      </w:r>
    </w:p>
    <w:p>
      <w:pPr>
        <w:spacing/>
        <w:rPr/>
      </w:pPr>
      <w:r>
        <w:rPr/>
        <w:drawing>
          <wp:inline>
            <wp:extent cx="2540000" cy="1905000"/>
            <wp:docPr id="26" name="Picture 2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1"/>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Cafe outdoor dining with easily movable chairs for access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9" w:name="_Toc0000000025"/>
      <w:r>
        <w:rPr/>
        <w:t xml:space="preserve">Report Disclaimer</w:t>
      </w:r>
      <w:bookmarkEnd w:id="29"/>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AD559B4"/>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2" Type="http://schemas.openxmlformats.org/officeDocument/2006/relationships/styles" Target="styles.xml" /><Relationship Id="rId23" Type="http://schemas.openxmlformats.org/officeDocument/2006/relationships/settings" Target="settings.xml" /><Relationship Id="rId24" Type="http://schemas.openxmlformats.org/officeDocument/2006/relationships/theme" Target="theme/theme1.xml" /><Relationship Id="rId25" Type="http://schemas.openxmlformats.org/officeDocument/2006/relationships/numbering" Target="numbering.xml" /><Relationship Id="rId1" Type="http://schemas.openxmlformats.org/officeDocument/2006/relationships/footer" Target="footer1.xml" /><Relationship Id="rId26"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16" Type="http://schemas.openxmlformats.org/officeDocument/2006/relationships/image" Target="media/image15.jpeg" /><Relationship Id="rId17" Type="http://schemas.openxmlformats.org/officeDocument/2006/relationships/image" Target="media/image16.jpeg" /><Relationship Id="rId18" Type="http://schemas.openxmlformats.org/officeDocument/2006/relationships/image" Target="media/image17.jpeg" /><Relationship Id="rId19" Type="http://schemas.openxmlformats.org/officeDocument/2006/relationships/image" Target="media/image18.jpeg" /><Relationship Id="rId20" Type="http://schemas.openxmlformats.org/officeDocument/2006/relationships/image" Target="media/image19.jpeg" /><Relationship Id="rId21" Type="http://schemas.openxmlformats.org/officeDocument/2006/relationships/image" Target="media/image20.jpeg" /><Relationship Id="rId27" Type="http://schemas.openxmlformats.org/officeDocument/2006/relationships/customXml" Target="../customXml/item1.xml" /><Relationship Id="rId28" Type="http://schemas.openxmlformats.org/officeDocument/2006/relationships/customXml" Target="../customXml/item2.xml" /><Relationship Id="rId29" Type="http://schemas.openxmlformats.org/officeDocument/2006/relationships/customXml" Target="../customXml/item3.xml" /><Relationship Id="rId30"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