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Aspen Holidays Darwin FreeSpirit</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901 Stuart Hwy</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HOLTZE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Laura McArthur</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08 8935 0888</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manager@darwinfreespirit.com.au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https://aspenholidayparks.com.au/darwin-freespirit-resort/</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2026-05-25 17:32</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_Toc0000000020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_Toc0000000021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_Toc0000000022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_Toc0000000023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_Toc0000000024 \h</w:instrText>
          </w:r>
          <w:r>
            <w:rPr/>
            <w:fldChar w:fldCharType="separate"/>
          </w:r>
          <w:r>
            <w:rPr/>
            <w:t xml:space="preserve">15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EVENTS</w:t>
          </w:r>
          <w:r>
            <w:rPr/>
            <w:tab/>
            <w:t xml:space="preserve"/>
          </w:r>
          <w:r>
            <w:rPr/>
            <w:fldChar w:fldCharType="begin"/>
          </w:r>
          <w:r>
            <w:rPr/>
            <w:instrText xml:space="preserve">PAGEREF _Toc0000000025 \h</w:instrText>
          </w:r>
          <w:r>
            <w:rPr/>
            <w:fldChar w:fldCharType="separate"/>
          </w:r>
          <w:r>
            <w:rPr/>
            <w:t xml:space="preserve">17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Events</w:t>
          </w:r>
          <w:r>
            <w:rPr/>
            <w:tab/>
            <w:t xml:space="preserve"/>
          </w:r>
          <w:r>
            <w:rPr/>
            <w:fldChar w:fldCharType="begin"/>
          </w:r>
          <w:r>
            <w:rPr/>
            <w:instrText xml:space="preserve">PAGEREF _Toc0000000026 \h</w:instrText>
          </w:r>
          <w:r>
            <w:rPr/>
            <w:fldChar w:fldCharType="separate"/>
          </w:r>
          <w:r>
            <w:rPr/>
            <w:t xml:space="preserve">17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"_Toc0000000027"</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_Toc0000000027 \h</w:instrText>
          </w:r>
          <w:r>
            <w:rPr/>
            <w:fldChar w:fldCharType="separate"/>
          </w:r>
          <w:r>
            <w:rPr/>
            <w:t xml:space="preserve">19</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spacing/>
        <w:rPr/>
      </w:pPr>
      <w:r>
        <w:rPr/>
        <w:drawing>
          <wp:inline>
            <wp:extent cx="2540000" cy="8001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8001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https://accreditation.qualitytourismaustralia.com/report/AccessReportPublicHtml2/070318d1-cb96-4587-9ce7-febd3a69b292</w:t>
      </w:r>
    </w:p>
    <w:p>
      <w:pPr>
        <w:pStyle w:val="ListBullet"/>
        <w:numPr>
          <w:ilvl w:val="0"/>
          <w:numId w:val="35"/>
        </w:numPr>
        <w:spacing/>
        <w:rPr/>
      </w:pPr>
      <w:r>
        <w:rPr/>
        <w:t xml:space="preserve">Our website meets WCAG 2.0 accessibility standards</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Permitted on site</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spacing/>
        <w:rPr/>
      </w:pPr>
    </w:p>
    <w:p>
      <w:pPr>
        <w:pBdr/>
        <w:spacing/>
        <w:rPr/>
      </w:pPr>
      <w:r>
        <w:rPr/>
        <w:t xml:space="preserve">This can be easily provided at time of printing </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Pre arrival calls are made the day before arrival to ensure we have all guests information and payments, this ensures the wait time is short.Access to the sports lounge from the reception area which is airconditioned and with seating.&amp;nbsp;</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Menus are available in large print or Braille</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Step free routes clearly signed</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2 metres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There is a registered changing places facility</w:t>
      </w:r>
    </w:p>
    <w:p>
      <w:pPr>
        <w:pStyle w:val="Heading1"/>
        <w:spacing/>
        <w:rPr/>
      </w:pPr>
      <w:bookmarkStart w:id="21" w:name="_Toc0000000017"/>
      <w:r>
        <w:rPr/>
        <w:t xml:space="preserve">ACCOMMODATION</w:t>
      </w:r>
      <w:bookmarkEnd w:id="21"/>
    </w:p>
    <w:p>
      <w:pPr>
        <w:spacing/>
        <w:rPr/>
      </w:pPr>
      <w:r>
        <w:rPr/>
        <w:t xml:space="preserve"> </w:t>
      </w:r>
    </w:p>
    <w:p>
      <w:pPr>
        <w:pStyle w:val="Heading2"/>
        <w:spacing/>
        <w:rPr/>
      </w:pPr>
      <w:bookmarkStart w:id="22" w:name="_Toc0000000018"/>
      <w:r>
        <w:rPr/>
        <w:t xml:space="preserve">Bedrooms</w:t>
      </w:r>
      <w:bookmarkEnd w:id="22"/>
    </w:p>
    <w:p>
      <w:pPr>
        <w:spacing/>
        <w:rPr/>
      </w:pPr>
      <w:r>
        <w:rPr/>
        <w:t xml:space="preserve">The bedrooms  have the following facilities/amenities in place</w:t>
      </w:r>
    </w:p>
    <w:p>
      <w:pPr>
        <w:pStyle w:val="ListBullet"/>
        <w:numPr>
          <w:ilvl w:val="0"/>
          <w:numId w:val="35"/>
        </w:numPr>
        <w:spacing/>
        <w:rPr/>
      </w:pPr>
      <w:r>
        <w:rPr/>
        <w:t xml:space="preserve">There are 1 cabin 2 motel rooms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drawing>
          <wp:inline>
            <wp:extent cx="2540000" cy="1689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689100"/>
                    </a:xfrm>
                    <a:prstGeom prst="rect">
                      <a:avLst/>
                    </a:prstGeom>
                  </pic:spPr>
                </pic:pic>
              </a:graphicData>
            </a:graphic>
          </wp:inline>
        </w:drawing>
      </w:r>
    </w:p>
    <w:p>
      <w:pPr>
        <w:spacing/>
        <w:rPr/>
      </w:pPr>
      <w:r>
        <w:rPr/>
        <w:t xml:space="preserve">Special Access Cabin exterior</w:t>
      </w:r>
    </w:p>
    <w:p>
      <w:pPr>
        <w:spacing/>
        <w:rPr/>
      </w:pPr>
      <w:r>
        <w:rPr/>
        <w:drawing>
          <wp:inline>
            <wp:extent cx="2540000" cy="16891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689100"/>
                    </a:xfrm>
                    <a:prstGeom prst="rect">
                      <a:avLst/>
                    </a:prstGeom>
                  </pic:spPr>
                </pic:pic>
              </a:graphicData>
            </a:graphic>
          </wp:inline>
        </w:drawing>
      </w:r>
    </w:p>
    <w:p>
      <w:pPr>
        <w:spacing/>
        <w:rPr/>
      </w:pPr>
      <w:r>
        <w:rPr/>
        <w:t xml:space="preserve">Special Access Cabin Kitchen</w:t>
      </w:r>
    </w:p>
    <w:p>
      <w:pPr>
        <w:spacing/>
        <w:rPr/>
      </w:pPr>
      <w:r>
        <w:rPr/>
        <w:drawing>
          <wp:inline>
            <wp:extent cx="2540000" cy="1689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89100"/>
                    </a:xfrm>
                    <a:prstGeom prst="rect">
                      <a:avLst/>
                    </a:prstGeom>
                  </pic:spPr>
                </pic:pic>
              </a:graphicData>
            </a:graphic>
          </wp:inline>
        </w:drawing>
      </w:r>
    </w:p>
    <w:p>
      <w:pPr>
        <w:spacing/>
        <w:rPr/>
      </w:pPr>
      <w:r>
        <w:rPr/>
        <w:t xml:space="preserve">Special Access cabin bathroom</w:t>
      </w:r>
    </w:p>
    <w:p>
      <w:pPr>
        <w:spacing/>
        <w:rPr/>
      </w:pPr>
      <w:r>
        <w:rPr/>
        <w:drawing>
          <wp:inline>
            <wp:extent cx="2540000" cy="16891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689100"/>
                    </a:xfrm>
                    <a:prstGeom prst="rect">
                      <a:avLst/>
                    </a:prstGeom>
                  </pic:spPr>
                </pic:pic>
              </a:graphicData>
            </a:graphic>
          </wp:inline>
        </w:drawing>
      </w:r>
    </w:p>
    <w:p>
      <w:pPr>
        <w:spacing/>
        <w:rPr/>
      </w:pPr>
      <w:r>
        <w:rPr/>
        <w:t xml:space="preserve">1G2A1819_800px</w:t>
      </w:r>
    </w:p>
    <w:p>
      <w:pPr>
        <w:spacing/>
        <w:rPr/>
      </w:pPr>
      <w:r>
        <w:rPr/>
        <w:drawing>
          <wp:inline>
            <wp:extent cx="2540000" cy="16891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689100"/>
                    </a:xfrm>
                    <a:prstGeom prst="rect">
                      <a:avLst/>
                    </a:prstGeom>
                  </pic:spPr>
                </pic:pic>
              </a:graphicData>
            </a:graphic>
          </wp:inline>
        </w:drawing>
      </w:r>
    </w:p>
    <w:p>
      <w:pPr>
        <w:spacing/>
        <w:rPr/>
      </w:pPr>
      <w:r>
        <w:rPr/>
        <w:t xml:space="preserve">1G2A1198_800px</w:t>
      </w:r>
    </w:p>
    <w:p>
      <w:pPr>
        <w:spacing/>
        <w:rPr/>
      </w:pPr>
      <w:r>
        <w:rPr/>
        <w:drawing>
          <wp:inline>
            <wp:extent cx="2540000" cy="16891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689100"/>
                    </a:xfrm>
                    <a:prstGeom prst="rect">
                      <a:avLst/>
                    </a:prstGeom>
                  </pic:spPr>
                </pic:pic>
              </a:graphicData>
            </a:graphic>
          </wp:inline>
        </w:drawing>
      </w:r>
    </w:p>
    <w:p>
      <w:pPr>
        <w:spacing/>
        <w:rPr/>
      </w:pPr>
      <w:r>
        <w:rPr/>
        <w:t xml:space="preserve">1G2A1200_800px</w:t>
      </w:r>
    </w:p>
    <w:p>
      <w:pPr>
        <w:spacing/>
        <w:rPr/>
      </w:pPr>
      <w:r>
        <w:rPr/>
        <w:t xml:space="preserve"> </w:t>
      </w:r>
    </w:p>
    <w:p>
      <w:pPr>
        <w:pStyle w:val="Heading2"/>
        <w:spacing/>
        <w:rPr/>
      </w:pPr>
      <w:bookmarkStart w:id="23" w:name="_Toc0000000019"/>
      <w:r>
        <w:rPr/>
        <w:t xml:space="preserve">Room Amenities</w:t>
      </w:r>
      <w:bookmarkEnd w:id="23"/>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spacing/>
        <w:rPr/>
      </w:pPr>
      <w:r>
        <w:rPr/>
        <w:t xml:space="preserve"> </w:t>
      </w:r>
    </w:p>
    <w:p>
      <w:pPr>
        <w:pStyle w:val="Heading2"/>
        <w:spacing/>
        <w:rPr/>
      </w:pPr>
      <w:bookmarkStart w:id="24" w:name="_Toc0000000020"/>
      <w:r>
        <w:rPr/>
        <w:t xml:space="preserve">Bathrooms</w:t>
      </w:r>
      <w:bookmarkEnd w:id="24"/>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ListBullet"/>
        <w:numPr>
          <w:ilvl w:val="0"/>
          <w:numId w:val="35"/>
        </w:numPr>
        <w:spacing/>
        <w:rPr/>
      </w:pPr>
      <w:r>
        <w:rPr/>
        <w:t xml:space="preserve">A door is fitted to the shower</w:t>
      </w:r>
    </w:p>
    <w:p>
      <w:pPr>
        <w:pStyle w:val="ListBullet"/>
        <w:numPr>
          <w:ilvl w:val="0"/>
          <w:numId w:val="35"/>
        </w:numPr>
        <w:spacing/>
        <w:rPr/>
      </w:pPr>
      <w:r>
        <w:rPr/>
        <w:t xml:space="preserve">A door is fitted to the showers with an outward swing at minimum width of 900 mm</w:t>
      </w:r>
    </w:p>
    <w:p>
      <w:pPr>
        <w:pStyle w:val="Subtitle"/>
        <w:spacing/>
        <w:rPr/>
      </w:pPr>
      <w:r>
        <w:rPr/>
        <w:t xml:space="preserve">Bathroom Image(s)</w:t>
      </w:r>
    </w:p>
    <w:p>
      <w:pPr>
        <w:spacing/>
        <w:rPr/>
      </w:pPr>
      <w:r>
        <w:rPr/>
        <w:drawing>
          <wp:inline>
            <wp:extent cx="2540000" cy="1689100"/>
            <wp:docPr id="8"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689100"/>
                    </a:xfrm>
                    <a:prstGeom prst="rect">
                      <a:avLst/>
                    </a:prstGeom>
                  </pic:spPr>
                </pic:pic>
              </a:graphicData>
            </a:graphic>
          </wp:inline>
        </w:drawing>
      </w:r>
    </w:p>
    <w:p>
      <w:pPr>
        <w:spacing/>
        <w:rPr/>
      </w:pPr>
      <w:r>
        <w:rPr/>
        <w:t xml:space="preserve">1G2A1198_800px</w:t>
      </w:r>
    </w:p>
    <w:p>
      <w:pPr>
        <w:spacing/>
        <w:rPr/>
      </w:pPr>
      <w:r>
        <w:rPr/>
        <w:drawing>
          <wp:inline>
            <wp:extent cx="2540000" cy="1689100"/>
            <wp:docPr id="9"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689100"/>
                    </a:xfrm>
                    <a:prstGeom prst="rect">
                      <a:avLst/>
                    </a:prstGeom>
                  </pic:spPr>
                </pic:pic>
              </a:graphicData>
            </a:graphic>
          </wp:inline>
        </w:drawing>
      </w:r>
    </w:p>
    <w:p>
      <w:pPr>
        <w:spacing/>
        <w:rPr/>
      </w:pPr>
      <w:r>
        <w:rPr/>
        <w:t xml:space="preserve">1G2A1810_800px</w:t>
      </w:r>
    </w:p>
    <w:p>
      <w:pPr>
        <w:pStyle w:val="Heading1"/>
        <w:spacing/>
        <w:rPr/>
      </w:pPr>
      <w:bookmarkStart w:id="25" w:name="_Toc0000000021"/>
      <w:r>
        <w:rPr/>
        <w:t xml:space="preserve">COMMON AREAS</w:t>
      </w:r>
      <w:bookmarkEnd w:id="25"/>
    </w:p>
    <w:p>
      <w:pPr>
        <w:spacing/>
        <w:rPr/>
      </w:pPr>
      <w:r>
        <w:rPr/>
        <w:t xml:space="preserve"> </w:t>
      </w:r>
    </w:p>
    <w:p>
      <w:pPr>
        <w:pStyle w:val="Heading2"/>
        <w:spacing/>
        <w:rPr/>
      </w:pPr>
      <w:bookmarkStart w:id="26" w:name="_Toc0000000022"/>
      <w:r>
        <w:rPr/>
        <w:t xml:space="preserve">Swimming pools, spas and waterparks</w:t>
      </w:r>
      <w:bookmarkEnd w:id="26"/>
    </w:p>
    <w:p>
      <w:pPr>
        <w:pStyle w:val="ListBullet"/>
        <w:numPr>
          <w:ilvl w:val="0"/>
          <w:numId w:val="35"/>
        </w:numPr>
        <w:spacing/>
        <w:rPr/>
      </w:pPr>
      <w:r>
        <w:rPr/>
        <w:t xml:space="preserve">The following swimming pools, spas and waterparks amenities are available</w:t>
      </w:r>
    </w:p>
    <w:p>
      <w:pPr>
        <w:pStyle w:val="ListBullet"/>
        <w:numPr>
          <w:ilvl w:val="0"/>
          <w:numId w:val="35"/>
        </w:numPr>
        <w:spacing/>
        <w:rPr/>
      </w:pPr>
      <w:r>
        <w:rPr/>
        <w:t xml:space="preserve">Unisex change facilities with an accessible toilet</w:t>
      </w:r>
    </w:p>
    <w:p>
      <w:pPr>
        <w:pStyle w:val="Subtitle"/>
        <w:spacing/>
        <w:rPr/>
      </w:pPr>
      <w:r>
        <w:rPr/>
        <w:t xml:space="preserve">Pool Access Image(s)</w:t>
      </w:r>
    </w:p>
    <w:p>
      <w:pPr>
        <w:spacing/>
        <w:rPr/>
      </w:pPr>
      <w:r>
        <w:rPr/>
        <w:drawing>
          <wp:inline>
            <wp:extent cx="1168400" cy="2540000"/>
            <wp:docPr id="10"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1168400" cy="2540000"/>
                    </a:xfrm>
                    <a:prstGeom prst="rect">
                      <a:avLst/>
                    </a:prstGeom>
                  </pic:spPr>
                </pic:pic>
              </a:graphicData>
            </a:graphic>
          </wp:inline>
        </w:drawing>
      </w:r>
    </w:p>
    <w:p>
      <w:pPr>
        <w:spacing/>
        <w:rPr/>
      </w:pPr>
      <w:r>
        <w:rPr/>
        <w:t xml:space="preserve">IMG_3386</w:t>
      </w:r>
    </w:p>
    <w:p>
      <w:pPr>
        <w:spacing/>
        <w:rPr/>
      </w:pPr>
      <w:r>
        <w:rPr/>
        <w:drawing>
          <wp:inline>
            <wp:extent cx="1168400" cy="2540000"/>
            <wp:docPr id="11"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1168400" cy="2540000"/>
                    </a:xfrm>
                    <a:prstGeom prst="rect">
                      <a:avLst/>
                    </a:prstGeom>
                  </pic:spPr>
                </pic:pic>
              </a:graphicData>
            </a:graphic>
          </wp:inline>
        </w:drawing>
      </w:r>
    </w:p>
    <w:p>
      <w:pPr>
        <w:spacing/>
        <w:rPr/>
      </w:pPr>
      <w:r>
        <w:rPr/>
        <w:t xml:space="preserve">IMG_3385</w:t>
      </w:r>
    </w:p>
    <w:p>
      <w:pPr>
        <w:spacing/>
        <w:rPr/>
      </w:pPr>
      <w:r>
        <w:rPr/>
        <w:drawing>
          <wp:inline>
            <wp:extent cx="2540000" cy="1905000"/>
            <wp:docPr id="12"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2540000" cy="1905000"/>
                    </a:xfrm>
                    <a:prstGeom prst="rect">
                      <a:avLst/>
                    </a:prstGeom>
                  </pic:spPr>
                </pic:pic>
              </a:graphicData>
            </a:graphic>
          </wp:inline>
        </w:drawing>
      </w:r>
    </w:p>
    <w:p>
      <w:pPr>
        <w:spacing/>
        <w:rPr/>
      </w:pPr>
      <w:r>
        <w:rPr/>
        <w:t xml:space="preserve">IMG_3388</w:t>
      </w:r>
    </w:p>
    <w:p>
      <w:pPr>
        <w:spacing/>
        <w:rPr/>
      </w:pPr>
      <w:r>
        <w:rPr/>
        <w:drawing>
          <wp:inline>
            <wp:extent cx="2540000" cy="1905000"/>
            <wp:docPr id="13"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2540000" cy="1905000"/>
                    </a:xfrm>
                    <a:prstGeom prst="rect">
                      <a:avLst/>
                    </a:prstGeom>
                  </pic:spPr>
                </pic:pic>
              </a:graphicData>
            </a:graphic>
          </wp:inline>
        </w:drawing>
      </w:r>
    </w:p>
    <w:p>
      <w:pPr>
        <w:spacing/>
        <w:rPr/>
      </w:pPr>
      <w:r>
        <w:rPr/>
        <w:t xml:space="preserve">IMG_3387</w:t>
      </w:r>
    </w:p>
    <w:p>
      <w:pPr>
        <w:pStyle w:val="ListBullet"/>
        <w:numPr>
          <w:ilvl w:val="0"/>
          <w:numId w:val="35"/>
        </w:numPr>
        <w:spacing/>
        <w:rPr/>
      </w:pPr>
      <w:r>
        <w:rPr/>
        <w:t xml:space="preserve">In addition, the following further information can assist guests:</w:t>
      </w:r>
    </w:p>
    <w:p>
      <w:pPr>
        <w:spacing/>
        <w:rPr/>
      </w:pPr>
      <w:r>
        <w:rPr/>
        <w:t xml:space="preserve">The resort features a flat layout, with all public areas being step-free and fully accessible, with the exception of the swimming pool area.</w:t>
      </w:r>
    </w:p>
    <w:p>
      <w:pPr>
        <w:pStyle w:val="Heading1"/>
        <w:spacing/>
        <w:rPr/>
      </w:pPr>
      <w:bookmarkStart w:id="27" w:name="_Toc0000000023"/>
      <w:r>
        <w:rPr/>
        <w:t xml:space="preserve">FOOD AND DRINK</w:t>
      </w:r>
      <w:bookmarkEnd w:id="27"/>
    </w:p>
    <w:p>
      <w:pPr>
        <w:spacing/>
        <w:rPr/>
      </w:pPr>
      <w:r>
        <w:rPr/>
        <w:t xml:space="preserve"> </w:t>
      </w:r>
    </w:p>
    <w:p>
      <w:pPr>
        <w:pStyle w:val="Heading2"/>
        <w:spacing/>
        <w:rPr/>
      </w:pPr>
      <w:bookmarkStart w:id="28" w:name="_Toc0000000024"/>
      <w:r>
        <w:rPr/>
        <w:t xml:space="preserve">Dining Spaces</w:t>
      </w:r>
      <w:bookmarkEnd w:id="28"/>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Additional food prep areas and equipment&amp;nbsp;</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chrome-extension://efaidnbmnnnibpcajpcglclefindmkaj/https://aspenholidayparks.com.au/app/uploads/sites/4/2025/03/DFSR-Wet-Season-Menu-wecompress.com_.pdf</w:t>
      </w:r>
    </w:p>
    <w:p>
      <w:pPr>
        <w:pStyle w:val="Subtitle"/>
        <w:spacing/>
        <w:rPr/>
      </w:pPr>
      <w:r>
        <w:rPr/>
        <w:t xml:space="preserve">Food and Beverage Image(s)</w:t>
      </w:r>
    </w:p>
    <w:p>
      <w:pPr>
        <w:spacing/>
        <w:rPr/>
      </w:pPr>
      <w:r>
        <w:rPr/>
        <w:drawing>
          <wp:inline>
            <wp:extent cx="2540000" cy="1905000"/>
            <wp:docPr id="14"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2540000" cy="1905000"/>
                    </a:xfrm>
                    <a:prstGeom prst="rect">
                      <a:avLst/>
                    </a:prstGeom>
                  </pic:spPr>
                </pic:pic>
              </a:graphicData>
            </a:graphic>
          </wp:inline>
        </w:drawing>
      </w:r>
    </w:p>
    <w:p>
      <w:pPr>
        <w:spacing/>
        <w:rPr/>
      </w:pPr>
      <w:r>
        <w:rPr/>
        <w:t xml:space="preserve">Terrace 3</w:t>
      </w:r>
    </w:p>
    <w:p>
      <w:pPr>
        <w:spacing/>
        <w:rPr/>
      </w:pPr>
      <w:r>
        <w:rPr/>
        <w:drawing>
          <wp:inline>
            <wp:extent cx="2540000" cy="1689100"/>
            <wp:docPr id="15"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a:srcRect/>
                    <a:stretch>
                      <a:fillRect/>
                    </a:stretch>
                  </pic:blipFill>
                  <pic:spPr bwMode="auto">
                    <a:xfrm>
                      <a:off x="0" y="0"/>
                      <a:ext cx="2540000" cy="1689100"/>
                    </a:xfrm>
                    <a:prstGeom prst="rect">
                      <a:avLst/>
                    </a:prstGeom>
                  </pic:spPr>
                </pic:pic>
              </a:graphicData>
            </a:graphic>
          </wp:inline>
        </w:drawing>
      </w:r>
    </w:p>
    <w:p>
      <w:pPr>
        <w:spacing/>
        <w:rPr/>
      </w:pPr>
      <w:r>
        <w:rPr/>
        <w:t xml:space="preserve">Main Bar Lights</w:t>
      </w:r>
    </w:p>
    <w:p>
      <w:pPr>
        <w:spacing/>
        <w:rPr/>
      </w:pPr>
      <w:r>
        <w:rPr/>
        <w:drawing>
          <wp:inline>
            <wp:extent cx="2540000" cy="1689100"/>
            <wp:docPr id="16"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6"/>
                    <a:srcRect/>
                    <a:stretch>
                      <a:fillRect/>
                    </a:stretch>
                  </pic:blipFill>
                  <pic:spPr bwMode="auto">
                    <a:xfrm>
                      <a:off x="0" y="0"/>
                      <a:ext cx="2540000" cy="1689100"/>
                    </a:xfrm>
                    <a:prstGeom prst="rect">
                      <a:avLst/>
                    </a:prstGeom>
                  </pic:spPr>
                </pic:pic>
              </a:graphicData>
            </a:graphic>
          </wp:inline>
        </w:drawing>
      </w:r>
    </w:p>
    <w:p>
      <w:pPr>
        <w:spacing/>
        <w:rPr/>
      </w:pPr>
      <w:r>
        <w:rPr/>
        <w:t xml:space="preserve">Terrace2</w:t>
      </w:r>
    </w:p>
    <w:p>
      <w:pPr>
        <w:pStyle w:val="Heading1"/>
        <w:spacing/>
        <w:rPr/>
      </w:pPr>
      <w:bookmarkStart w:id="29" w:name="_Toc0000000025"/>
      <w:r>
        <w:rPr/>
        <w:t xml:space="preserve">EVENTS</w:t>
      </w:r>
      <w:bookmarkEnd w:id="29"/>
    </w:p>
    <w:p>
      <w:pPr>
        <w:spacing/>
        <w:rPr/>
      </w:pPr>
      <w:r>
        <w:rPr/>
        <w:t xml:space="preserve"> </w:t>
      </w:r>
    </w:p>
    <w:p>
      <w:pPr>
        <w:pStyle w:val="Heading2"/>
        <w:spacing/>
        <w:rPr/>
      </w:pPr>
      <w:bookmarkStart w:id="30" w:name="_Toc0000000026"/>
      <w:r>
        <w:rPr/>
        <w:t xml:space="preserve">Events</w:t>
      </w:r>
      <w:bookmarkEnd w:id="30"/>
    </w:p>
    <w:p>
      <w:pPr>
        <w:spacing/>
        <w:rPr/>
      </w:pPr>
      <w:r>
        <w:rPr/>
        <w:t xml:space="preserve">Events  have the following facilities/amenities in place</w:t>
      </w:r>
    </w:p>
    <w:p>
      <w:pPr>
        <w:pStyle w:val="ListBullet"/>
        <w:numPr>
          <w:ilvl w:val="0"/>
          <w:numId w:val="35"/>
        </w:numPr>
        <w:spacing/>
        <w:rPr/>
      </w:pPr>
      <w:r>
        <w:rPr/>
        <w:t xml:space="preserve">There is step free access throughout the venue</w:t>
      </w:r>
    </w:p>
    <w:p>
      <w:pPr>
        <w:pStyle w:val="ListBullet"/>
        <w:numPr>
          <w:ilvl w:val="0"/>
          <w:numId w:val="35"/>
        </w:numPr>
        <w:spacing/>
        <w:rPr/>
      </w:pPr>
      <w:r>
        <w:rPr/>
        <w:t xml:space="preserve">Reception, registration desks or ticket offices have a lower counter section</w:t>
      </w:r>
    </w:p>
    <w:p>
      <w:pPr>
        <w:pStyle w:val="ListBullet"/>
        <w:numPr>
          <w:ilvl w:val="0"/>
          <w:numId w:val="35"/>
        </w:numPr>
        <w:spacing/>
        <w:rPr/>
      </w:pPr>
      <w:r>
        <w:rPr/>
        <w:t xml:space="preserve">All ancillary areas are step free e.g. breakout rooms, dining areas, outside areas and exhibition spaces</w:t>
      </w:r>
    </w:p>
    <w:p>
      <w:pPr>
        <w:pStyle w:val="ListBullet"/>
        <w:numPr>
          <w:ilvl w:val="0"/>
          <w:numId w:val="35"/>
        </w:numPr>
        <w:spacing/>
        <w:rPr/>
      </w:pPr>
      <w:r>
        <w:rPr/>
        <w:t xml:space="preserve">All stage areas including speaker platforms are accessible</w:t>
      </w:r>
    </w:p>
    <w:p>
      <w:pPr>
        <w:pStyle w:val="ListBullet"/>
        <w:numPr>
          <w:ilvl w:val="0"/>
          <w:numId w:val="35"/>
        </w:numPr>
        <w:spacing/>
        <w:rPr/>
      </w:pPr>
      <w:r>
        <w:rPr/>
        <w:t xml:space="preserve">A low height lectern is available</w:t>
      </w:r>
    </w:p>
    <w:p>
      <w:pPr>
        <w:pStyle w:val="ListBullet"/>
        <w:numPr>
          <w:ilvl w:val="0"/>
          <w:numId w:val="35"/>
        </w:numPr>
        <w:spacing/>
        <w:rPr/>
      </w:pPr>
      <w:r>
        <w:rPr/>
        <w:t xml:space="preserve">Accessible toilets are available at the venue</w:t>
      </w:r>
    </w:p>
    <w:p>
      <w:pPr>
        <w:pStyle w:val="ListBullet"/>
        <w:numPr>
          <w:ilvl w:val="0"/>
          <w:numId w:val="35"/>
        </w:numPr>
        <w:spacing/>
        <w:rPr/>
      </w:pPr>
      <w:r>
        <w:rPr/>
        <w:t xml:space="preserve">There is clear signage throughout the venue including accessible routes and accessible facilities</w:t>
      </w:r>
    </w:p>
    <w:p>
      <w:pPr>
        <w:pStyle w:val="ListBullet"/>
        <w:numPr>
          <w:ilvl w:val="0"/>
          <w:numId w:val="35"/>
        </w:numPr>
        <w:spacing/>
        <w:rPr/>
      </w:pPr>
      <w:r>
        <w:rPr/>
        <w:t xml:space="preserve">Wheelchair designated seating is provided</w:t>
      </w:r>
    </w:p>
    <w:p>
      <w:pPr>
        <w:pStyle w:val="ListBullet"/>
        <w:numPr>
          <w:ilvl w:val="0"/>
          <w:numId w:val="35"/>
        </w:numPr>
        <w:spacing/>
        <w:rPr/>
      </w:pPr>
      <w:r>
        <w:rPr/>
        <w:t xml:space="preserve">We cater for a range of seating and viewing options</w:t>
      </w:r>
    </w:p>
    <w:p>
      <w:pPr>
        <w:pStyle w:val="ListBullet"/>
        <w:numPr>
          <w:ilvl w:val="0"/>
          <w:numId w:val="35"/>
        </w:numPr>
        <w:spacing/>
        <w:rPr/>
      </w:pPr>
      <w:r>
        <w:rPr/>
        <w:t xml:space="preserve">We cater for varying group sizes</w:t>
      </w:r>
    </w:p>
    <w:p>
      <w:pPr>
        <w:pStyle w:val="ListBullet"/>
        <w:numPr>
          <w:ilvl w:val="0"/>
          <w:numId w:val="35"/>
        </w:numPr>
        <w:spacing/>
        <w:rPr/>
      </w:pPr>
      <w:r>
        <w:rPr/>
        <w:t xml:space="preserve">All presentations are captioned</w:t>
      </w:r>
    </w:p>
    <w:p>
      <w:pPr>
        <w:pStyle w:val="ListBullet"/>
        <w:numPr>
          <w:ilvl w:val="0"/>
          <w:numId w:val="35"/>
        </w:numPr>
        <w:spacing/>
        <w:rPr/>
      </w:pPr>
      <w:r>
        <w:rPr/>
        <w:t xml:space="preserve">Live captioning is provided</w:t>
      </w:r>
    </w:p>
    <w:p>
      <w:pPr>
        <w:pStyle w:val="ListBullet"/>
        <w:numPr>
          <w:ilvl w:val="0"/>
          <w:numId w:val="35"/>
        </w:numPr>
        <w:spacing/>
        <w:rPr/>
      </w:pPr>
      <w:r>
        <w:rPr/>
        <w:t xml:space="preserve">There is  good circulation space with the number of people expected to allow people with a disability to move around freely</w:t>
      </w:r>
    </w:p>
    <w:p>
      <w:pPr>
        <w:pStyle w:val="ListBullet"/>
        <w:numPr>
          <w:ilvl w:val="0"/>
          <w:numId w:val="35"/>
        </w:numPr>
        <w:spacing/>
        <w:rPr/>
      </w:pPr>
      <w:r>
        <w:rPr/>
        <w:t xml:space="preserve">Food and water is available for guide and service animals</w:t>
      </w:r>
    </w:p>
    <w:p>
      <w:pPr>
        <w:pStyle w:val="ListBullet"/>
        <w:numPr>
          <w:ilvl w:val="0"/>
          <w:numId w:val="35"/>
        </w:numPr>
        <w:spacing/>
        <w:rPr/>
      </w:pPr>
      <w:r>
        <w:rPr/>
        <w:t xml:space="preserve">Accessible car parking is available</w:t>
      </w:r>
    </w:p>
    <w:p>
      <w:pPr>
        <w:pStyle w:val="ListBullet"/>
        <w:numPr>
          <w:ilvl w:val="0"/>
          <w:numId w:val="35"/>
        </w:numPr>
        <w:spacing/>
        <w:rPr/>
      </w:pPr>
      <w:r>
        <w:rPr/>
        <w:t xml:space="preserve">There are designated drop-off points</w:t>
      </w:r>
    </w:p>
    <w:p>
      <w:pPr>
        <w:pStyle w:val="ListBullet"/>
        <w:numPr>
          <w:ilvl w:val="0"/>
          <w:numId w:val="35"/>
        </w:numPr>
        <w:spacing/>
        <w:rPr/>
      </w:pPr>
      <w:r>
        <w:rPr/>
        <w:t xml:space="preserve">There is accessible public transport to the venue</w:t>
      </w:r>
    </w:p>
    <w:p>
      <w:pPr>
        <w:pStyle w:val="ListBullet"/>
        <w:numPr>
          <w:ilvl w:val="0"/>
          <w:numId w:val="35"/>
        </w:numPr>
        <w:spacing/>
        <w:rPr/>
      </w:pPr>
      <w:r>
        <w:rPr/>
        <w:t xml:space="preserve">Accessible public transport is detailed in the event information</w:t>
      </w:r>
    </w:p>
    <w:p>
      <w:pPr>
        <w:pStyle w:val="ListBullet"/>
        <w:numPr>
          <w:ilvl w:val="0"/>
          <w:numId w:val="35"/>
        </w:numPr>
        <w:spacing/>
        <w:rPr/>
      </w:pPr>
      <w:r>
        <w:rPr/>
        <w:t xml:space="preserve">There is an event map available</w:t>
      </w:r>
    </w:p>
    <w:p>
      <w:pPr>
        <w:pStyle w:val="ListBullet"/>
        <w:numPr>
          <w:ilvl w:val="0"/>
          <w:numId w:val="35"/>
        </w:numPr>
        <w:spacing/>
        <w:rPr/>
      </w:pPr>
      <w:r>
        <w:rPr/>
        <w:t xml:space="preserve">The event map shows accessible facilities</w:t>
      </w:r>
    </w:p>
    <w:p>
      <w:pPr>
        <w:pStyle w:val="ListBullet"/>
        <w:numPr>
          <w:ilvl w:val="0"/>
          <w:numId w:val="35"/>
        </w:numPr>
        <w:spacing/>
        <w:rPr/>
      </w:pPr>
      <w:r>
        <w:rPr/>
        <w:t xml:space="preserve">A step free route is shown</w:t>
      </w:r>
    </w:p>
    <w:p>
      <w:pPr>
        <w:pStyle w:val="ListBullet"/>
        <w:numPr>
          <w:ilvl w:val="0"/>
          <w:numId w:val="35"/>
        </w:numPr>
        <w:spacing/>
        <w:rPr/>
      </w:pPr>
      <w:r>
        <w:rPr/>
        <w:t xml:space="preserve">Quiet rooms, marquees or spaces are available</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All event bookings are managed via email, with details and contact information available on our website.All resort venues are located within close proximity to each other, so transport between venues is not required. However, assistance can be provided by our friendly team if needed.Please note, we only provide water for guide and service animals.A public bus stop is conveniently located right in front of our main entrance, and all buses servicing this route are fully accessible.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1" w:name="_Toc0000000027"/>
      <w:r>
        <w:rPr/>
        <w:t xml:space="preserve">Report Disclaimer</w:t>
      </w:r>
      <w:bookmarkEnd w:id="31"/>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49CC5E68"/>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7" Type="http://schemas.openxmlformats.org/officeDocument/2006/relationships/styles" Target="styles.xml" /><Relationship Id="rId18" Type="http://schemas.openxmlformats.org/officeDocument/2006/relationships/settings" Target="settings.xml" /><Relationship Id="rId19" Type="http://schemas.openxmlformats.org/officeDocument/2006/relationships/theme" Target="theme/theme1.xml" /><Relationship Id="rId20" Type="http://schemas.openxmlformats.org/officeDocument/2006/relationships/numbering" Target="numbering.xml" /><Relationship Id="rId1" Type="http://schemas.openxmlformats.org/officeDocument/2006/relationships/footer" Target="footer1.xml" /><Relationship Id="rId21"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4" Type="http://schemas.openxmlformats.org/officeDocument/2006/relationships/image" Target="media/image13.jpeg" /><Relationship Id="rId15" Type="http://schemas.openxmlformats.org/officeDocument/2006/relationships/image" Target="media/image14.jpeg" /><Relationship Id="rId16" Type="http://schemas.openxmlformats.org/officeDocument/2006/relationships/image" Target="media/image15.jpeg" /><Relationship Id="rId22" Type="http://schemas.openxmlformats.org/officeDocument/2006/relationships/customXml" Target="../customXml/item1.xml" /><Relationship Id="rId23" Type="http://schemas.openxmlformats.org/officeDocument/2006/relationships/customXml" Target="../customXml/item2.xml" /><Relationship Id="rId24" Type="http://schemas.openxmlformats.org/officeDocument/2006/relationships/customXml" Target="../customXml/item3.xml" /><Relationship Id="rId25"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