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Aspen Holidays Darwin FreeSpirit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901 Stuart Hwy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HOLTZE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Laura McArthur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08 8935 0888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manager@darwinfreespirit.com.au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https://aspengroup.com.au/holidays/holiday-parks/darwin-free-spirit</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2026-09-29 09:28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EVENTS</w:t>
          </w:r>
          <w:r>
            <w:rPr/>
            <w:tab/>
            <w:t xml:space="preserve"/>
          </w:r>
          <w:r>
            <w:rPr/>
            <w:fldChar w:fldCharType="begin"/>
          </w:r>
          <w:r>
            <w:rPr/>
            <w:instrText xml:space="preserve">PAGEREF _Toc0000000025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Events</w:t>
          </w:r>
          <w:r>
            <w:rPr/>
            <w:tab/>
            <w:t xml:space="preserve"/>
          </w:r>
          <w:r>
            <w:rPr/>
            <w:fldChar w:fldCharType="begin"/>
          </w:r>
          <w:r>
            <w:rPr/>
            <w:instrText xml:space="preserve">PAGEREF _Toc0000000026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20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800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800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https://accreditation.qualitytourismaustralia.com/report/AccessReportPublicHtml2/070318d1-cb96-4587-9ce7-febd3a69b292</w:t>
      </w:r>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Permitted on site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spacing/>
        <w:rPr/>
      </w:pPr>
    </w:p>
    <w:p>
      <w:pPr>
        <w:pBdr/>
        <w:spacing/>
        <w:rPr/>
      </w:pPr>
      <w:r>
        <w:rPr/>
        <w:t xml:space="preserve">This can be easily provided at time of printing </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Pre arrival calls are made the day before arrival to ensure we have all guests information and payments, this ensures the wait time is short.</w:t>
      </w:r>
    </w:p>
    <w:p>
      <w:pPr>
        <w:pBdr/>
        <w:spacing/>
        <w:rPr/>
      </w:pPr>
      <w:r>
        <w:rPr/>
        <w:t xml:space="preserve">Access to the sports lounge from the reception area which is airconditioned and with seating.</w:t>
      </w:r>
    </w:p>
    <w:p>
      <w:pPr>
        <w:pBdr/>
        <w:spacing/>
        <w:rPr/>
      </w:pPr>
    </w:p>
    <w:p>
      <w:pPr>
        <w:pBdr/>
        <w:spacing/>
        <w:rPr/>
      </w:pP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2 metres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Bedrooms</w:t>
      </w:r>
      <w:bookmarkEnd w:id="22"/>
    </w:p>
    <w:p>
      <w:pPr>
        <w:spacing/>
        <w:rPr/>
      </w:pPr>
      <w:r>
        <w:rPr/>
        <w:t xml:space="preserve">The bedrooms  have the following facilities/amenities in place</w:t>
      </w:r>
    </w:p>
    <w:p>
      <w:pPr>
        <w:pStyle w:val="ListBullet"/>
        <w:numPr>
          <w:ilvl w:val="0"/>
          <w:numId w:val="35"/>
        </w:numPr>
        <w:spacing/>
        <w:rPr/>
      </w:pPr>
      <w:r>
        <w:rPr/>
        <w:t xml:space="preserve">There are 1 cabin 2 motel rooms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Special Access Cabin exterior</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Special Access Cabin Kitchen</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Special Access cabin bathroom</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1G2A1819_800px</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1G2A1198_800px</w:t>
      </w:r>
    </w:p>
    <w:p>
      <w:pPr>
        <w:spacing/>
        <w:rPr/>
      </w:pPr>
      <w:r>
        <w:rPr/>
        <w:drawing>
          <wp:inline>
            <wp:extent cx="2540000" cy="16891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689100"/>
                    </a:xfrm>
                    <a:prstGeom prst="rect">
                      <a:avLst/>
                    </a:prstGeom>
                  </pic:spPr>
                </pic:pic>
              </a:graphicData>
            </a:graphic>
          </wp:inline>
        </w:drawing>
      </w:r>
    </w:p>
    <w:p>
      <w:pPr>
        <w:spacing/>
        <w:rPr/>
      </w:pPr>
      <w:r>
        <w:rPr/>
        <w:t xml:space="preserve">1G2A1200_800px</w:t>
      </w:r>
    </w:p>
    <w:p>
      <w:pPr>
        <w:spacing/>
        <w:rPr/>
      </w:pPr>
      <w:r>
        <w:rPr/>
        <w:t xml:space="preserve"> </w:t>
      </w:r>
    </w:p>
    <w:p>
      <w:pPr>
        <w:pStyle w:val="Heading2"/>
        <w:spacing/>
        <w:rPr/>
      </w:pPr>
      <w:bookmarkStart w:id="23" w:name="_Toc0000000019"/>
      <w:r>
        <w:rPr/>
        <w:t xml:space="preserve">Room Amenities</w:t>
      </w:r>
      <w:bookmarkEnd w:id="23"/>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4" w:name="_Toc0000000020"/>
      <w:r>
        <w:rPr/>
        <w:t xml:space="preserve">Bathrooms</w:t>
      </w:r>
      <w:bookmarkEnd w:id="24"/>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689100"/>
            <wp:docPr id="8"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1G2A1198_800px</w:t>
      </w:r>
    </w:p>
    <w:p>
      <w:pPr>
        <w:spacing/>
        <w:rPr/>
      </w:pPr>
      <w:r>
        <w:rPr/>
        <w:drawing>
          <wp:inline>
            <wp:extent cx="2540000" cy="1689100"/>
            <wp:docPr id="9"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689100"/>
                    </a:xfrm>
                    <a:prstGeom prst="rect">
                      <a:avLst/>
                    </a:prstGeom>
                  </pic:spPr>
                </pic:pic>
              </a:graphicData>
            </a:graphic>
          </wp:inline>
        </w:drawing>
      </w:r>
    </w:p>
    <w:p>
      <w:pPr>
        <w:spacing/>
        <w:rPr/>
      </w:pPr>
      <w:r>
        <w:rPr/>
        <w:t xml:space="preserve">1G2A1810_800px</w:t>
      </w:r>
    </w:p>
    <w:p>
      <w:pPr>
        <w:pStyle w:val="Heading1"/>
        <w:spacing/>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Swimming pools, spas and waterparks</w:t>
      </w:r>
      <w:bookmarkEnd w:id="26"/>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Subtitle"/>
        <w:spacing/>
        <w:rPr/>
      </w:pPr>
      <w:r>
        <w:rPr/>
        <w:t xml:space="preserve">Pool Access Image(s)</w:t>
      </w:r>
    </w:p>
    <w:p>
      <w:pPr>
        <w:spacing/>
        <w:rPr/>
      </w:pPr>
      <w:r>
        <w:rPr/>
        <w:drawing>
          <wp:inline>
            <wp:extent cx="1168400" cy="2540000"/>
            <wp:docPr id="10"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168400" cy="2540000"/>
                    </a:xfrm>
                    <a:prstGeom prst="rect">
                      <a:avLst/>
                    </a:prstGeom>
                  </pic:spPr>
                </pic:pic>
              </a:graphicData>
            </a:graphic>
          </wp:inline>
        </w:drawing>
      </w:r>
    </w:p>
    <w:p>
      <w:pPr>
        <w:spacing/>
        <w:rPr/>
      </w:pPr>
      <w:r>
        <w:rPr/>
        <w:t xml:space="preserve">IMG_3386</w:t>
      </w:r>
    </w:p>
    <w:p>
      <w:pPr>
        <w:spacing/>
        <w:rPr/>
      </w:pPr>
      <w:r>
        <w:rPr/>
        <w:drawing>
          <wp:inline>
            <wp:extent cx="1168400" cy="2540000"/>
            <wp:docPr id="11"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168400" cy="2540000"/>
                    </a:xfrm>
                    <a:prstGeom prst="rect">
                      <a:avLst/>
                    </a:prstGeom>
                  </pic:spPr>
                </pic:pic>
              </a:graphicData>
            </a:graphic>
          </wp:inline>
        </w:drawing>
      </w:r>
    </w:p>
    <w:p>
      <w:pPr>
        <w:spacing/>
        <w:rPr/>
      </w:pPr>
      <w:r>
        <w:rPr/>
        <w:t xml:space="preserve">IMG_3385</w:t>
      </w:r>
    </w:p>
    <w:p>
      <w:pPr>
        <w:spacing/>
        <w:rPr/>
      </w:pPr>
      <w:r>
        <w:rPr/>
        <w:drawing>
          <wp:inline>
            <wp:extent cx="2540000" cy="1905000"/>
            <wp:docPr id="12"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905000"/>
                    </a:xfrm>
                    <a:prstGeom prst="rect">
                      <a:avLst/>
                    </a:prstGeom>
                  </pic:spPr>
                </pic:pic>
              </a:graphicData>
            </a:graphic>
          </wp:inline>
        </w:drawing>
      </w:r>
    </w:p>
    <w:p>
      <w:pPr>
        <w:spacing/>
        <w:rPr/>
      </w:pPr>
      <w:r>
        <w:rPr/>
        <w:t xml:space="preserve">IMG_3388</w:t>
      </w:r>
    </w:p>
    <w:p>
      <w:pPr>
        <w:spacing/>
        <w:rPr/>
      </w:pPr>
      <w:r>
        <w:rPr/>
        <w:drawing>
          <wp:inline>
            <wp:extent cx="2540000" cy="1905000"/>
            <wp:docPr id="13"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IMG_3387</w:t>
      </w:r>
    </w:p>
    <w:p>
      <w:pPr>
        <w:pStyle w:val="ListBullet"/>
        <w:numPr>
          <w:ilvl w:val="0"/>
          <w:numId w:val="35"/>
        </w:numPr>
        <w:spacing/>
        <w:rPr/>
      </w:pPr>
      <w:r>
        <w:rPr/>
        <w:t xml:space="preserve">In addition, the following further information can assist guests:</w:t>
      </w:r>
    </w:p>
    <w:p>
      <w:pPr>
        <w:spacing/>
        <w:rPr/>
      </w:pPr>
      <w:r>
        <w:rPr/>
        <w:t xml:space="preserve">The resort features a flat layout, with all public areas being step-free and fully accessible, with the exception of the swimming pool area.</w:t>
      </w:r>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Additional food prep areas and equipment</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chrome-extension://efaidnbmnnnibpcajpcglclefindmkaj/https://aspenholidayparks.com.au/app/uploads/sites/4/2025/03/DFSR-Wet-Season-Menu-wecompress.com_.pdf</w:t>
      </w:r>
    </w:p>
    <w:p>
      <w:pPr>
        <w:pStyle w:val="Subtitle"/>
        <w:spacing/>
        <w:rPr/>
      </w:pPr>
      <w:r>
        <w:rPr/>
        <w:t xml:space="preserve">Food and Beverage Image(s)</w:t>
      </w:r>
    </w:p>
    <w:p>
      <w:pPr>
        <w:spacing/>
        <w:rPr/>
      </w:pPr>
      <w:r>
        <w:rPr/>
        <w:drawing>
          <wp:inline>
            <wp:extent cx="2540000" cy="1905000"/>
            <wp:docPr id="14"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Terrace 3</w:t>
      </w:r>
    </w:p>
    <w:p>
      <w:pPr>
        <w:spacing/>
        <w:rPr/>
      </w:pPr>
      <w:r>
        <w:rPr/>
        <w:drawing>
          <wp:inline>
            <wp:extent cx="2540000" cy="1689100"/>
            <wp:docPr id="15"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689100"/>
                    </a:xfrm>
                    <a:prstGeom prst="rect">
                      <a:avLst/>
                    </a:prstGeom>
                  </pic:spPr>
                </pic:pic>
              </a:graphicData>
            </a:graphic>
          </wp:inline>
        </w:drawing>
      </w:r>
    </w:p>
    <w:p>
      <w:pPr>
        <w:spacing/>
        <w:rPr/>
      </w:pPr>
      <w:r>
        <w:rPr/>
        <w:t xml:space="preserve">Main Bar Lights</w:t>
      </w:r>
    </w:p>
    <w:p>
      <w:pPr>
        <w:spacing/>
        <w:rPr/>
      </w:pPr>
      <w:r>
        <w:rPr/>
        <w:drawing>
          <wp:inline>
            <wp:extent cx="2540000" cy="1689100"/>
            <wp:docPr id="16"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2540000" cy="1689100"/>
                    </a:xfrm>
                    <a:prstGeom prst="rect">
                      <a:avLst/>
                    </a:prstGeom>
                  </pic:spPr>
                </pic:pic>
              </a:graphicData>
            </a:graphic>
          </wp:inline>
        </w:drawing>
      </w:r>
    </w:p>
    <w:p>
      <w:pPr>
        <w:spacing/>
        <w:rPr/>
      </w:pPr>
      <w:r>
        <w:rPr/>
        <w:t xml:space="preserve">Terrace2</w:t>
      </w:r>
    </w:p>
    <w:p>
      <w:pPr>
        <w:pStyle w:val="Heading1"/>
        <w:spacing/>
        <w:rPr/>
      </w:pPr>
      <w:bookmarkStart w:id="29" w:name="_Toc0000000025"/>
      <w:r>
        <w:rPr/>
        <w:t xml:space="preserve">EVENTS</w:t>
      </w:r>
      <w:bookmarkEnd w:id="29"/>
    </w:p>
    <w:p>
      <w:pPr>
        <w:spacing/>
        <w:rPr/>
      </w:pPr>
      <w:r>
        <w:rPr/>
        <w:t xml:space="preserve"> </w:t>
      </w:r>
    </w:p>
    <w:p>
      <w:pPr>
        <w:pStyle w:val="Heading2"/>
        <w:spacing/>
        <w:rPr/>
      </w:pPr>
      <w:bookmarkStart w:id="30" w:name="_Toc0000000026"/>
      <w:r>
        <w:rPr/>
        <w:t xml:space="preserve">Events</w:t>
      </w:r>
      <w:bookmarkEnd w:id="30"/>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 low height lectern is available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All presentations are captioned</w:t>
      </w:r>
    </w:p>
    <w:p>
      <w:pPr>
        <w:pStyle w:val="ListBullet"/>
        <w:numPr>
          <w:ilvl w:val="0"/>
          <w:numId w:val="35"/>
        </w:numPr>
        <w:spacing/>
        <w:rPr/>
      </w:pPr>
      <w:r>
        <w:rPr/>
        <w:t xml:space="preserve">Live captioning is provided</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Accessible public transport is detailed in the event information</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A step free route is shown</w:t>
      </w:r>
    </w:p>
    <w:p>
      <w:pPr>
        <w:pStyle w:val="ListBullet"/>
        <w:numPr>
          <w:ilvl w:val="0"/>
          <w:numId w:val="35"/>
        </w:numPr>
        <w:spacing/>
        <w:rPr/>
      </w:pPr>
      <w:r>
        <w:rPr/>
        <w:t xml:space="preserve">Quiet rooms, marquees or spaces are available</w:t>
      </w:r>
    </w:p>
    <w:p>
      <w:pPr>
        <w:pStyle w:val="ListBullet"/>
        <w:numPr>
          <w:ilvl w:val="0"/>
          <w:numId w:val="35"/>
        </w:numPr>
        <w:spacing/>
        <w:rPr/>
      </w:pPr>
      <w:r>
        <w:rPr/>
        <w:t xml:space="preserve">In addition, the following further information can assist guests:</w:t>
      </w:r>
    </w:p>
    <w:p>
      <w:pPr>
        <w:spacing/>
        <w:rPr/>
      </w:pPr>
      <w:r>
        <w:rPr/>
        <w:t xml:space="preserve">All event bookings are managed via email, with details and contact information available on our website.</w:t>
      </w:r>
    </w:p>
    <w:p>
      <w:pPr>
        <w:pBdr/>
        <w:spacing/>
        <w:rPr/>
      </w:pPr>
    </w:p>
    <w:p>
      <w:pPr>
        <w:pBdr/>
        <w:spacing/>
        <w:rPr/>
      </w:pPr>
      <w:r>
        <w:rPr/>
        <w:t xml:space="preserve">All resort venues are located within close proximity to each other, so transport between venues is not required. However, assistance can be provided by our friendly team if needed.</w:t>
      </w:r>
    </w:p>
    <w:p>
      <w:pPr>
        <w:pBdr/>
        <w:spacing/>
        <w:rPr/>
      </w:pPr>
    </w:p>
    <w:p>
      <w:pPr>
        <w:pBdr/>
        <w:spacing/>
        <w:rPr/>
      </w:pPr>
      <w:r>
        <w:rPr/>
        <w:t xml:space="preserve">Please note, we only provide water for guide and service animals.</w:t>
      </w:r>
    </w:p>
    <w:p>
      <w:pPr>
        <w:pBdr/>
        <w:spacing/>
        <w:rPr/>
      </w:pPr>
    </w:p>
    <w:p>
      <w:pPr>
        <w:pBdr/>
        <w:spacing/>
        <w:rPr/>
      </w:pPr>
      <w:r>
        <w:rPr/>
        <w:t xml:space="preserve">A public bus stop is conveniently located right in front of our main entrance, and all buses servicing this route are fully accessible.</w:t>
      </w:r>
    </w:p>
    <w:p>
      <w:pPr>
        <w:pBdr/>
        <w:spacing/>
        <w:rPr/>
      </w:pPr>
    </w:p>
    <w:p>
      <w:pPr>
        <w:pBdr/>
        <w:spacing/>
        <w:rPr/>
        <w:sectPr>
          <w:type w:val="nextPage"/>
          <w:pgSz w:w="11906" w:h="16838"/>
          <w:pgMar w:top="1440" w:right="1440" w:bottom="1440" w:left="1440" w:header="708" w:footer="708" w:gutter="0"/>
          <w:pgBorders/>
          <w:pgNumType w:fmt="decimal"/>
          <w:cols w:num="1" w:equalWidth="1" w:space="708"/>
          <w:docGrid w:linePitch="360"/>
        </w:sectPr>
      </w:pP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5FE276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7" Type="http://schemas.openxmlformats.org/officeDocument/2006/relationships/styles" Target="styles.xml" /><Relationship Id="rId18" Type="http://schemas.openxmlformats.org/officeDocument/2006/relationships/settings" Target="settings.xml" /><Relationship Id="rId19" Type="http://schemas.openxmlformats.org/officeDocument/2006/relationships/theme" Target="theme/theme1.xml" /><Relationship Id="rId20" Type="http://schemas.openxmlformats.org/officeDocument/2006/relationships/numbering" Target="numbering.xml" /><Relationship Id="rId1" Type="http://schemas.openxmlformats.org/officeDocument/2006/relationships/footer" Target="footer1.xml" /><Relationship Id="rId21"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22" Type="http://schemas.openxmlformats.org/officeDocument/2006/relationships/customXml" Target="../customXml/item1.xml" /><Relationship Id="rId23" Type="http://schemas.openxmlformats.org/officeDocument/2006/relationships/customXml" Target="../customXml/item2.xml" /><Relationship Id="rId24" Type="http://schemas.openxmlformats.org/officeDocument/2006/relationships/customXml" Target="../customXml/item3.xml" /><Relationship Id="rId2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